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F1B38" w14:textId="779E546C" w:rsidR="00410E22" w:rsidRDefault="00451A79" w:rsidP="00410E22">
      <w:pPr>
        <w:pStyle w:val="NoSpacing"/>
        <w:jc w:val="center"/>
        <w:rPr>
          <w:b/>
        </w:rPr>
      </w:pPr>
      <w:r>
        <w:rPr>
          <w:b/>
        </w:rPr>
        <w:t>T</w:t>
      </w:r>
      <w:r w:rsidR="009846D2">
        <w:rPr>
          <w:b/>
        </w:rPr>
        <w:t>acticians, stewards and profession</w:t>
      </w:r>
      <w:r w:rsidR="00EF33E3">
        <w:rPr>
          <w:b/>
        </w:rPr>
        <w:t>als</w:t>
      </w:r>
      <w:r>
        <w:rPr>
          <w:b/>
        </w:rPr>
        <w:t>:</w:t>
      </w:r>
      <w:r w:rsidR="00410E22" w:rsidRPr="004529BD">
        <w:rPr>
          <w:b/>
        </w:rPr>
        <w:t xml:space="preserve"> </w:t>
      </w:r>
    </w:p>
    <w:p w14:paraId="5E0932CE" w14:textId="2EF2B7D7" w:rsidR="009A008B" w:rsidRPr="004529BD" w:rsidRDefault="009A008B" w:rsidP="009A008B">
      <w:pPr>
        <w:pStyle w:val="NoSpacing"/>
        <w:jc w:val="center"/>
        <w:rPr>
          <w:b/>
        </w:rPr>
      </w:pPr>
      <w:r>
        <w:rPr>
          <w:b/>
        </w:rPr>
        <w:t>The politics of publishing</w:t>
      </w:r>
      <w:r w:rsidRPr="004529BD">
        <w:rPr>
          <w:b/>
        </w:rPr>
        <w:t xml:space="preserve"> </w:t>
      </w:r>
      <w:r w:rsidR="00C37DB8">
        <w:rPr>
          <w:b/>
        </w:rPr>
        <w:t>select committee</w:t>
      </w:r>
      <w:r w:rsidR="00C37DB8" w:rsidRPr="004529BD">
        <w:rPr>
          <w:b/>
        </w:rPr>
        <w:t xml:space="preserve"> </w:t>
      </w:r>
      <w:r w:rsidRPr="004529BD">
        <w:rPr>
          <w:b/>
        </w:rPr>
        <w:t xml:space="preserve">legal advice </w:t>
      </w:r>
    </w:p>
    <w:p w14:paraId="49EB8BD3" w14:textId="77777777" w:rsidR="00410E22" w:rsidRDefault="00410E22" w:rsidP="00410E22">
      <w:pPr>
        <w:pStyle w:val="NoSpacing"/>
        <w:jc w:val="both"/>
        <w:rPr>
          <w:b/>
        </w:rPr>
      </w:pPr>
    </w:p>
    <w:p w14:paraId="4CB7F33C" w14:textId="6E784658" w:rsidR="00183B6B" w:rsidRPr="00191E00" w:rsidRDefault="00641DA7" w:rsidP="00EF7645">
      <w:pPr>
        <w:pStyle w:val="NoSpacing"/>
        <w:ind w:left="720"/>
        <w:jc w:val="both"/>
        <w:rPr>
          <w:i/>
        </w:rPr>
      </w:pPr>
      <w:r w:rsidRPr="00191E00">
        <w:rPr>
          <w:i/>
        </w:rPr>
        <w:t xml:space="preserve">At Westminster, there are increasing pressures on select committees to publish in-house </w:t>
      </w:r>
      <w:r w:rsidR="00B03399" w:rsidRPr="00191E00">
        <w:rPr>
          <w:i/>
        </w:rPr>
        <w:t xml:space="preserve">legal </w:t>
      </w:r>
      <w:r w:rsidR="002F31F2" w:rsidRPr="00191E00">
        <w:rPr>
          <w:i/>
        </w:rPr>
        <w:t>advice</w:t>
      </w:r>
      <w:r w:rsidRPr="00191E00">
        <w:rPr>
          <w:i/>
        </w:rPr>
        <w:t xml:space="preserve">. </w:t>
      </w:r>
      <w:r w:rsidR="001652B8">
        <w:rPr>
          <w:i/>
        </w:rPr>
        <w:t>We suggest that examining the process of deciding to publish gives us useful insights into the provision, rece</w:t>
      </w:r>
      <w:r w:rsidR="00F25796">
        <w:rPr>
          <w:i/>
        </w:rPr>
        <w:t>ption and use of legal advice,</w:t>
      </w:r>
      <w:r w:rsidR="00F25796" w:rsidRPr="00F25796">
        <w:rPr>
          <w:i/>
        </w:rPr>
        <w:t xml:space="preserve"> </w:t>
      </w:r>
      <w:r w:rsidR="00F25796">
        <w:rPr>
          <w:i/>
        </w:rPr>
        <w:t>and the dynamics of select committees generally</w:t>
      </w:r>
      <w:r w:rsidR="001652B8">
        <w:rPr>
          <w:i/>
        </w:rPr>
        <w:t>. W</w:t>
      </w:r>
      <w:r w:rsidR="00C45498" w:rsidRPr="00191E00">
        <w:rPr>
          <w:i/>
        </w:rPr>
        <w:t>e argue that</w:t>
      </w:r>
      <w:r w:rsidR="00EF7645" w:rsidRPr="00191E00">
        <w:rPr>
          <w:i/>
        </w:rPr>
        <w:t xml:space="preserve"> </w:t>
      </w:r>
      <w:r w:rsidR="00D87924" w:rsidRPr="00191E00">
        <w:rPr>
          <w:i/>
        </w:rPr>
        <w:t xml:space="preserve">the autonomy of select committees to decide what use they make of evidence and </w:t>
      </w:r>
      <w:r w:rsidR="00C45498" w:rsidRPr="00191E00">
        <w:rPr>
          <w:i/>
        </w:rPr>
        <w:t>advice</w:t>
      </w:r>
      <w:r w:rsidR="00D87924" w:rsidRPr="00191E00">
        <w:rPr>
          <w:i/>
        </w:rPr>
        <w:t xml:space="preserve"> they receive is, in practice, constrained by the intra-institutional dynamics and practices of select committees. Committee actors—parliamentarians, clerks and parliamentary lawyers—each have overlapping, sometimes competing, roles. Most of the time, these roles (and the responsibilities they encompass) coincide, but the prospect of publication reveals clear tensions between the different actors. This is the politics of publication: </w:t>
      </w:r>
      <w:r w:rsidR="00867943" w:rsidRPr="001D2661">
        <w:rPr>
          <w:i/>
        </w:rPr>
        <w:t xml:space="preserve">the </w:t>
      </w:r>
      <w:r w:rsidR="00867943" w:rsidRPr="001D2661">
        <w:t>tactical</w:t>
      </w:r>
      <w:r w:rsidR="00867943" w:rsidRPr="001D2661">
        <w:rPr>
          <w:i/>
        </w:rPr>
        <w:t xml:space="preserve"> </w:t>
      </w:r>
      <w:r w:rsidR="00DD3248" w:rsidRPr="001D2661">
        <w:rPr>
          <w:i/>
        </w:rPr>
        <w:t xml:space="preserve">approach </w:t>
      </w:r>
      <w:r w:rsidR="00867943" w:rsidRPr="001D2661">
        <w:rPr>
          <w:i/>
        </w:rPr>
        <w:t xml:space="preserve">of politicians </w:t>
      </w:r>
      <w:r w:rsidR="00DD3248" w:rsidRPr="001D2661">
        <w:rPr>
          <w:i/>
        </w:rPr>
        <w:t>is in tension with</w:t>
      </w:r>
      <w:r w:rsidR="00867943" w:rsidRPr="001D2661">
        <w:rPr>
          <w:i/>
        </w:rPr>
        <w:t xml:space="preserve"> the </w:t>
      </w:r>
      <w:r w:rsidR="00867943" w:rsidRPr="001D2661">
        <w:t>stewardship</w:t>
      </w:r>
      <w:r w:rsidR="00867943" w:rsidRPr="001D2661">
        <w:rPr>
          <w:i/>
        </w:rPr>
        <w:t xml:space="preserve"> of clerks and the </w:t>
      </w:r>
      <w:r w:rsidR="00867943" w:rsidRPr="001D2661">
        <w:t>professional</w:t>
      </w:r>
      <w:r w:rsidR="00867943" w:rsidRPr="001D2661">
        <w:rPr>
          <w:i/>
        </w:rPr>
        <w:t xml:space="preserve"> norms of parliamentary lawyers</w:t>
      </w:r>
      <w:r w:rsidR="00D87924" w:rsidRPr="001D2661">
        <w:rPr>
          <w:i/>
        </w:rPr>
        <w:t>.</w:t>
      </w:r>
      <w:r w:rsidR="00D87924" w:rsidRPr="00191E00">
        <w:rPr>
          <w:i/>
        </w:rPr>
        <w:t xml:space="preserve"> </w:t>
      </w:r>
    </w:p>
    <w:p w14:paraId="7A766F35" w14:textId="77777777" w:rsidR="0074473C" w:rsidRDefault="0074473C" w:rsidP="00410E22">
      <w:pPr>
        <w:pStyle w:val="NoSpacing"/>
        <w:jc w:val="both"/>
        <w:rPr>
          <w:b/>
        </w:rPr>
      </w:pPr>
    </w:p>
    <w:p w14:paraId="2C954D73" w14:textId="77777777" w:rsidR="0074473C" w:rsidRDefault="0074473C" w:rsidP="00410E22">
      <w:pPr>
        <w:pStyle w:val="NoSpacing"/>
        <w:jc w:val="both"/>
        <w:rPr>
          <w:b/>
        </w:rPr>
      </w:pPr>
    </w:p>
    <w:p w14:paraId="6C6002A7" w14:textId="36F2A813" w:rsidR="00410E22" w:rsidRPr="00CB38AB" w:rsidRDefault="00EA709D" w:rsidP="00A95B93">
      <w:pPr>
        <w:pStyle w:val="NoSpacing"/>
        <w:jc w:val="center"/>
        <w:rPr>
          <w:b/>
        </w:rPr>
      </w:pPr>
      <w:r>
        <w:rPr>
          <w:b/>
        </w:rPr>
        <w:t>INTRODUCTION</w:t>
      </w:r>
    </w:p>
    <w:p w14:paraId="659C6618" w14:textId="77777777" w:rsidR="00A95B93" w:rsidRDefault="00A95B93" w:rsidP="00410E22">
      <w:pPr>
        <w:pStyle w:val="NoSpacing"/>
        <w:jc w:val="both"/>
      </w:pPr>
    </w:p>
    <w:p w14:paraId="3A52BB2D" w14:textId="68360420" w:rsidR="00410E22" w:rsidRDefault="00410E22" w:rsidP="00410E22">
      <w:pPr>
        <w:pStyle w:val="NoSpacing"/>
        <w:jc w:val="both"/>
      </w:pPr>
      <w:r>
        <w:t>In 2017, the House of Lords European Union Subcommittee on Financial Affairs took a highly unusual step: it published the advice provided by the EU Committee legal adviser, Paul Hardy, as part of its inquiry on Brexit and the EU budget.</w:t>
      </w:r>
      <w:r>
        <w:rPr>
          <w:rStyle w:val="FootnoteReference"/>
        </w:rPr>
        <w:footnoteReference w:id="1"/>
      </w:r>
      <w:r>
        <w:t xml:space="preserve"> The advice argued article 50 of the TEU allowed the UK ‘</w:t>
      </w:r>
      <w:r w:rsidRPr="00550D25">
        <w:t>to leave the EU without being liable for outstanding financial obligations under the EU budget</w:t>
      </w:r>
      <w:r>
        <w:t>.’</w:t>
      </w:r>
      <w:r>
        <w:rPr>
          <w:rStyle w:val="FootnoteReference"/>
        </w:rPr>
        <w:footnoteReference w:id="2"/>
      </w:r>
      <w:r>
        <w:t xml:space="preserve"> The implications of such advice were politically controversial. But the act of publishing the in-house legal advice provided to the </w:t>
      </w:r>
      <w:r w:rsidR="00DE4915">
        <w:t xml:space="preserve">Committee </w:t>
      </w:r>
      <w:r>
        <w:t xml:space="preserve">in its entirety, </w:t>
      </w:r>
      <w:r w:rsidR="000B5C2E">
        <w:t>with</w:t>
      </w:r>
      <w:r>
        <w:t xml:space="preserve"> the legal adviser named, also merit</w:t>
      </w:r>
      <w:r w:rsidR="00385B65">
        <w:t>s</w:t>
      </w:r>
      <w:r>
        <w:t xml:space="preserve"> serious attention. </w:t>
      </w:r>
    </w:p>
    <w:p w14:paraId="41D5819B" w14:textId="77777777" w:rsidR="00C162AF" w:rsidRDefault="00C162AF" w:rsidP="00410E22">
      <w:pPr>
        <w:pStyle w:val="NoSpacing"/>
        <w:jc w:val="both"/>
      </w:pPr>
    </w:p>
    <w:p w14:paraId="3DAF0F25" w14:textId="763435BD" w:rsidR="00410E22" w:rsidRDefault="00410E22" w:rsidP="00410E22">
      <w:pPr>
        <w:pStyle w:val="NoSpacing"/>
        <w:jc w:val="both"/>
      </w:pPr>
      <w:r>
        <w:t xml:space="preserve">Publishing </w:t>
      </w:r>
      <w:r w:rsidR="00C162AF">
        <w:t xml:space="preserve">legal </w:t>
      </w:r>
      <w:r w:rsidRPr="001E0531">
        <w:t xml:space="preserve">advice </w:t>
      </w:r>
      <w:r>
        <w:t>in this way is rarely done, and then</w:t>
      </w:r>
      <w:r w:rsidRPr="001E0531">
        <w:t xml:space="preserve"> </w:t>
      </w:r>
      <w:r>
        <w:t>only on an ad hoc</w:t>
      </w:r>
      <w:r w:rsidRPr="001E0531">
        <w:t xml:space="preserve"> basis</w:t>
      </w:r>
      <w:r>
        <w:t>: seven times in the past decade. But there are intensifying pressures on the Westminster Parliament</w:t>
      </w:r>
      <w:r w:rsidR="000B5C2E">
        <w:t>—</w:t>
      </w:r>
      <w:r>
        <w:t>and indeed in other legislatures</w:t>
      </w:r>
      <w:r w:rsidR="000B5C2E">
        <w:t>—</w:t>
      </w:r>
      <w:r>
        <w:t>which make it more likely to happen.</w:t>
      </w:r>
      <w:r w:rsidRPr="001E0531">
        <w:t xml:space="preserve"> </w:t>
      </w:r>
      <w:r>
        <w:t>The shift in the centre of influence at Westminster from the debating chamber towards select committees is one reason.</w:t>
      </w:r>
      <w:r>
        <w:rPr>
          <w:rStyle w:val="FootnoteReference"/>
        </w:rPr>
        <w:footnoteReference w:id="3"/>
      </w:r>
      <w:r>
        <w:t xml:space="preserve"> In the House of Commons, the Wright reforms (under which chairs and members of committees are now elected by their peers) will intensify this trend.</w:t>
      </w:r>
      <w:r>
        <w:rPr>
          <w:rStyle w:val="FootnoteReference"/>
        </w:rPr>
        <w:footnoteReference w:id="4"/>
      </w:r>
      <w:r>
        <w:t xml:space="preserve"> There have been high profile hearings in select committees in recent years which have involved charged legal issues—tax avoidance by Goldman Sachs and phone hacking by News International, for example.</w:t>
      </w:r>
      <w:r>
        <w:rPr>
          <w:rStyle w:val="FootnoteReference"/>
        </w:rPr>
        <w:footnoteReference w:id="5"/>
      </w:r>
      <w:r>
        <w:t xml:space="preserve"> </w:t>
      </w:r>
      <w:r w:rsidRPr="001E0531">
        <w:t xml:space="preserve">Parliamentarians feel </w:t>
      </w:r>
      <w:r>
        <w:t>increasingly</w:t>
      </w:r>
      <w:r w:rsidRPr="001E0531">
        <w:t xml:space="preserve"> compelled to </w:t>
      </w:r>
      <w:r>
        <w:t xml:space="preserve">seek and </w:t>
      </w:r>
      <w:r w:rsidRPr="001E0531">
        <w:t>publish advice as evidence to justify particular conclusions</w:t>
      </w:r>
      <w:r>
        <w:t xml:space="preserve"> and ensure influence</w:t>
      </w:r>
      <w:r w:rsidRPr="001E0531">
        <w:t>.</w:t>
      </w:r>
      <w:r>
        <w:rPr>
          <w:rStyle w:val="FootnoteReference"/>
        </w:rPr>
        <w:footnoteReference w:id="6"/>
      </w:r>
      <w:r>
        <w:t xml:space="preserve"> Brexit, </w:t>
      </w:r>
      <w:r>
        <w:lastRenderedPageBreak/>
        <w:t xml:space="preserve">and all the </w:t>
      </w:r>
      <w:r w:rsidR="00DE4915">
        <w:t>complexity</w:t>
      </w:r>
      <w:r w:rsidR="0064585E">
        <w:t xml:space="preserve"> it entails</w:t>
      </w:r>
      <w:r>
        <w:t xml:space="preserve">, is another pressing reason. </w:t>
      </w:r>
      <w:r w:rsidR="00E9785F" w:rsidRPr="00BC3C0C">
        <w:rPr>
          <w:highlight w:val="yellow"/>
          <w:shd w:val="clear" w:color="auto" w:fill="FFFFFF"/>
        </w:rPr>
        <w:t>The process has forced government and legislature alike to wrangle with the publication of legal advice. In Westminster, opposition parties have repeatedly pushed the UK Government to publish its internal advice</w:t>
      </w:r>
      <w:r w:rsidR="007046B4" w:rsidRPr="00BC3C0C">
        <w:rPr>
          <w:highlight w:val="yellow"/>
          <w:shd w:val="clear" w:color="auto" w:fill="FFFFFF"/>
        </w:rPr>
        <w:t>,</w:t>
      </w:r>
      <w:r w:rsidR="00E9785F" w:rsidRPr="00BC3C0C">
        <w:rPr>
          <w:highlight w:val="yellow"/>
          <w:shd w:val="clear" w:color="auto" w:fill="FFFFFF"/>
        </w:rPr>
        <w:t xml:space="preserve"> such as the legal implications of the withdrawal agreement.</w:t>
      </w:r>
      <w:r w:rsidR="00E9785F" w:rsidRPr="00BC3C0C">
        <w:rPr>
          <w:rStyle w:val="FootnoteReference"/>
          <w:rFonts w:ascii="Calibri" w:hAnsi="Calibri"/>
          <w:color w:val="000000"/>
          <w:highlight w:val="yellow"/>
          <w:shd w:val="clear" w:color="auto" w:fill="FFFFFF"/>
        </w:rPr>
        <w:footnoteReference w:id="7"/>
      </w:r>
      <w:r w:rsidR="00E9785F" w:rsidRPr="00BC3C0C">
        <w:rPr>
          <w:highlight w:val="yellow"/>
          <w:shd w:val="clear" w:color="auto" w:fill="FFFFFF"/>
        </w:rPr>
        <w:t xml:space="preserve"> The Welsh and Scottish legislatures have also faced pressures to publish during this period. In early 2018, their presiding officers took the unusual decision to disclose the legal reasoning for their determinations on the legislative competence of the EU ‘continuity’ bills.</w:t>
      </w:r>
      <w:r w:rsidR="00E9785F" w:rsidRPr="00BC3C0C">
        <w:rPr>
          <w:rStyle w:val="FootnoteReference"/>
          <w:rFonts w:ascii="Calibri" w:hAnsi="Calibri"/>
          <w:color w:val="000000"/>
          <w:highlight w:val="yellow"/>
          <w:shd w:val="clear" w:color="auto" w:fill="FFFFFF"/>
        </w:rPr>
        <w:footnoteReference w:id="8"/>
      </w:r>
      <w:r w:rsidRPr="00BC3C0C">
        <w:rPr>
          <w:highlight w:val="yellow"/>
        </w:rPr>
        <w:t xml:space="preserve"> </w:t>
      </w:r>
      <w:r w:rsidR="00385B65" w:rsidRPr="00BC3C0C">
        <w:rPr>
          <w:highlight w:val="yellow"/>
        </w:rPr>
        <w:t>However</w:t>
      </w:r>
      <w:r w:rsidR="009F6709" w:rsidRPr="00BC3C0C">
        <w:rPr>
          <w:highlight w:val="yellow"/>
        </w:rPr>
        <w:t>,</w:t>
      </w:r>
      <w:r w:rsidR="009F6709">
        <w:t xml:space="preserve"> publication </w:t>
      </w:r>
      <w:r w:rsidR="00742442">
        <w:t xml:space="preserve">may increase </w:t>
      </w:r>
      <w:r w:rsidR="00742442" w:rsidRPr="006F15F1">
        <w:t xml:space="preserve">concerns </w:t>
      </w:r>
      <w:r w:rsidR="00742442">
        <w:t xml:space="preserve">about the ‘juridification’ of politics—that </w:t>
      </w:r>
      <w:r w:rsidR="00742442" w:rsidRPr="006F15F1">
        <w:t xml:space="preserve">politics is becoming </w:t>
      </w:r>
      <w:r w:rsidR="00742442">
        <w:t>increasingly subject to legal norms.</w:t>
      </w:r>
      <w:r w:rsidR="00742442">
        <w:rPr>
          <w:rStyle w:val="FootnoteReference"/>
        </w:rPr>
        <w:footnoteReference w:id="9"/>
      </w:r>
    </w:p>
    <w:p w14:paraId="6342AE72" w14:textId="77777777" w:rsidR="003C2662" w:rsidRDefault="003C2662" w:rsidP="00410E22">
      <w:pPr>
        <w:pStyle w:val="NoSpacing"/>
        <w:jc w:val="both"/>
        <w:rPr>
          <w:i/>
        </w:rPr>
      </w:pPr>
    </w:p>
    <w:p w14:paraId="0869DDEB" w14:textId="4F82A209" w:rsidR="00410E22" w:rsidRDefault="00385B65" w:rsidP="00410E22">
      <w:pPr>
        <w:pStyle w:val="NoSpacing"/>
        <w:jc w:val="both"/>
      </w:pPr>
      <w:r>
        <w:t>We therefore</w:t>
      </w:r>
      <w:r w:rsidR="00410E22" w:rsidRPr="006F15F1">
        <w:t xml:space="preserve"> </w:t>
      </w:r>
      <w:r w:rsidR="00C71F8D">
        <w:t xml:space="preserve">need to </w:t>
      </w:r>
      <w:r w:rsidR="00DE4915" w:rsidRPr="006F15F1">
        <w:t xml:space="preserve">examine </w:t>
      </w:r>
      <w:r w:rsidR="00410E22" w:rsidRPr="006F15F1">
        <w:t xml:space="preserve">more systematically the processes of provision </w:t>
      </w:r>
      <w:r w:rsidR="00742442">
        <w:t xml:space="preserve">and reception </w:t>
      </w:r>
      <w:r w:rsidR="00410E22" w:rsidRPr="006F15F1">
        <w:t xml:space="preserve">of in-house legal advice to select committees, </w:t>
      </w:r>
      <w:r w:rsidR="00742442">
        <w:t xml:space="preserve">and </w:t>
      </w:r>
      <w:r w:rsidR="00410E22" w:rsidRPr="006F15F1">
        <w:t>the considerations for and against the publication of that legal advice</w:t>
      </w:r>
      <w:r w:rsidR="00742442">
        <w:t>.</w:t>
      </w:r>
      <w:r w:rsidR="00742442" w:rsidRPr="00742442">
        <w:t xml:space="preserve"> </w:t>
      </w:r>
      <w:r w:rsidR="00410E22" w:rsidRPr="006F15F1">
        <w:t xml:space="preserve">In this paper we undertake that task, by drawing on published parliamentary reports and interviews conducted with three sets of </w:t>
      </w:r>
      <w:r w:rsidR="00041546">
        <w:t xml:space="preserve">core </w:t>
      </w:r>
      <w:r w:rsidR="00410E22" w:rsidRPr="006F15F1">
        <w:t>actors in the select committee setting at Westminster—parliamentarians, clerks and parliamentary lawyers.</w:t>
      </w:r>
      <w:r w:rsidR="00410E22" w:rsidRPr="00042709">
        <w:t xml:space="preserve"> </w:t>
      </w:r>
    </w:p>
    <w:p w14:paraId="2B056795" w14:textId="77777777" w:rsidR="00742442" w:rsidRDefault="00742442" w:rsidP="00410E22">
      <w:pPr>
        <w:pStyle w:val="NoSpacing"/>
        <w:jc w:val="both"/>
      </w:pPr>
    </w:p>
    <w:p w14:paraId="40B54531" w14:textId="16203D9D" w:rsidR="00410E22" w:rsidRPr="00213543" w:rsidRDefault="00410E22" w:rsidP="00410E22">
      <w:pPr>
        <w:pStyle w:val="NoSpacing"/>
        <w:jc w:val="both"/>
      </w:pPr>
      <w:r w:rsidRPr="00042709">
        <w:t xml:space="preserve">We argue that the autonomy of select committees to decide what use they make of evidence and </w:t>
      </w:r>
      <w:r w:rsidR="00C45498">
        <w:t>advice</w:t>
      </w:r>
      <w:r w:rsidRPr="00042709">
        <w:t xml:space="preserve"> they receive is, in practice, constrained by the intra-institutional dynamics and practices of select committee</w:t>
      </w:r>
      <w:r w:rsidR="00DE4915">
        <w:t>s</w:t>
      </w:r>
      <w:r w:rsidRPr="00042709">
        <w:t>. Committee actors</w:t>
      </w:r>
      <w:r w:rsidR="00041546">
        <w:t xml:space="preserve"> </w:t>
      </w:r>
      <w:r w:rsidRPr="00042709">
        <w:t>each have overlapping, sometimes competing</w:t>
      </w:r>
      <w:r w:rsidR="00DE4915">
        <w:t>,</w:t>
      </w:r>
      <w:r w:rsidRPr="00042709">
        <w:t xml:space="preserve"> </w:t>
      </w:r>
      <w:r w:rsidR="00EF33E3">
        <w:t>roles</w:t>
      </w:r>
      <w:r w:rsidRPr="00042709">
        <w:t xml:space="preserve">. Most of the time, these </w:t>
      </w:r>
      <w:r w:rsidR="0058799A">
        <w:t xml:space="preserve">roles </w:t>
      </w:r>
      <w:r w:rsidR="004D1BE0">
        <w:t>(</w:t>
      </w:r>
      <w:r w:rsidR="0058799A">
        <w:t xml:space="preserve">and the </w:t>
      </w:r>
      <w:r w:rsidR="004D1BE0">
        <w:t>responsibilities</w:t>
      </w:r>
      <w:r w:rsidR="0058799A">
        <w:t xml:space="preserve"> they </w:t>
      </w:r>
      <w:r w:rsidR="004D1BE0">
        <w:t>encompass)</w:t>
      </w:r>
      <w:r w:rsidRPr="00042709">
        <w:t xml:space="preserve"> coincide, </w:t>
      </w:r>
      <w:r>
        <w:t xml:space="preserve">but the </w:t>
      </w:r>
      <w:r w:rsidRPr="00B2365C">
        <w:t>prospect of publication</w:t>
      </w:r>
      <w:r>
        <w:t>, and any move towards publication as the default, reveals</w:t>
      </w:r>
      <w:r w:rsidRPr="00B2365C">
        <w:t xml:space="preserve"> clear tensions between the different actors</w:t>
      </w:r>
      <w:r w:rsidR="00D87924">
        <w:t>. This is the</w:t>
      </w:r>
      <w:r w:rsidR="004D1BE0">
        <w:t xml:space="preserve"> politics of publication</w:t>
      </w:r>
      <w:r w:rsidR="00D87924">
        <w:t xml:space="preserve">: </w:t>
      </w:r>
      <w:r w:rsidR="00D87924" w:rsidRPr="00DD3248">
        <w:t>t</w:t>
      </w:r>
      <w:r w:rsidRPr="00DD3248">
        <w:t xml:space="preserve">he </w:t>
      </w:r>
      <w:r w:rsidRPr="00DD3248">
        <w:rPr>
          <w:i/>
        </w:rPr>
        <w:t>tactical</w:t>
      </w:r>
      <w:r w:rsidRPr="00DD3248">
        <w:t xml:space="preserve"> </w:t>
      </w:r>
      <w:r w:rsidR="00DD3248">
        <w:rPr>
          <w:i/>
        </w:rPr>
        <w:t>approach</w:t>
      </w:r>
      <w:r w:rsidR="00867943" w:rsidRPr="00DD3248">
        <w:t xml:space="preserve"> </w:t>
      </w:r>
      <w:r w:rsidRPr="00DD3248">
        <w:t xml:space="preserve">of politicians </w:t>
      </w:r>
      <w:r w:rsidR="00DD3248">
        <w:t>is in tension with</w:t>
      </w:r>
      <w:r w:rsidRPr="00DD3248">
        <w:t xml:space="preserve"> the </w:t>
      </w:r>
      <w:r w:rsidR="00A54259" w:rsidRPr="00DD3248">
        <w:rPr>
          <w:i/>
        </w:rPr>
        <w:t>stewardship</w:t>
      </w:r>
      <w:r w:rsidRPr="00DD3248">
        <w:t xml:space="preserve"> of clerks and the </w:t>
      </w:r>
      <w:r w:rsidRPr="00DD3248">
        <w:rPr>
          <w:i/>
        </w:rPr>
        <w:t>professional</w:t>
      </w:r>
      <w:r w:rsidRPr="00DD3248">
        <w:t xml:space="preserve"> </w:t>
      </w:r>
      <w:r w:rsidR="00867943" w:rsidRPr="00DD3248">
        <w:rPr>
          <w:i/>
        </w:rPr>
        <w:t>norms</w:t>
      </w:r>
      <w:r w:rsidR="00867943" w:rsidRPr="00DD3248">
        <w:t xml:space="preserve"> </w:t>
      </w:r>
      <w:r w:rsidRPr="00DD3248">
        <w:t>of parliamentary lawyers.</w:t>
      </w:r>
      <w:r>
        <w:t xml:space="preserve"> And in practice parliamentary staff—clerks and parliamentary lawyers—exercise a soft power capable of constraining committees. </w:t>
      </w:r>
      <w:r w:rsidR="00867943">
        <w:t>This tension</w:t>
      </w:r>
      <w:r w:rsidR="00867943" w:rsidRPr="008131C7">
        <w:t xml:space="preserve"> </w:t>
      </w:r>
      <w:r w:rsidR="008131C7" w:rsidRPr="008131C7">
        <w:t xml:space="preserve">has led to legal advice being published on an unpredictable, ad hoc basis. It </w:t>
      </w:r>
      <w:r w:rsidR="00867943">
        <w:t>is</w:t>
      </w:r>
      <w:r w:rsidR="00867943" w:rsidRPr="008131C7">
        <w:t xml:space="preserve"> </w:t>
      </w:r>
      <w:r w:rsidR="008131C7" w:rsidRPr="008131C7">
        <w:t>therefore in the interests of all actors for official guidance to be introduced</w:t>
      </w:r>
      <w:r w:rsidR="008131C7">
        <w:t>.</w:t>
      </w:r>
    </w:p>
    <w:p w14:paraId="052C3AB4" w14:textId="77777777" w:rsidR="00410E22" w:rsidRDefault="00410E22" w:rsidP="00410E22">
      <w:pPr>
        <w:pStyle w:val="NoSpacing"/>
        <w:jc w:val="both"/>
      </w:pPr>
    </w:p>
    <w:p w14:paraId="0CD4ACF6" w14:textId="2681BFA9" w:rsidR="00410E22" w:rsidRDefault="00410E22" w:rsidP="00410E22">
      <w:pPr>
        <w:pStyle w:val="NoSpacing"/>
        <w:jc w:val="both"/>
      </w:pPr>
      <w:r w:rsidRPr="001F5A24">
        <w:t xml:space="preserve">This paper proceeds as follows. Section I examines </w:t>
      </w:r>
      <w:r w:rsidR="004F0677">
        <w:t>how the</w:t>
      </w:r>
      <w:r w:rsidRPr="001F5A24">
        <w:t xml:space="preserve"> expansion of select committees at Westminster</w:t>
      </w:r>
      <w:r w:rsidR="004F0677">
        <w:t xml:space="preserve"> has focused on outcomes and impact, at the cost of examining the processes of decision making</w:t>
      </w:r>
      <w:r w:rsidRPr="001F5A24">
        <w:t xml:space="preserve">. Section II sets out the methodology for our empirical work. Section III sets out the institutional framework of select committees: their function and the broad ideal roles of the three sets of committee actors: parliamentarians, clerks and parliamentary lawyers. Section IV then explores these actors’ views on the publication of legal advice. </w:t>
      </w:r>
    </w:p>
    <w:p w14:paraId="55FC1B3A" w14:textId="77777777" w:rsidR="00410E22" w:rsidRDefault="00410E22" w:rsidP="00410E22">
      <w:pPr>
        <w:pStyle w:val="NoSpacing"/>
        <w:jc w:val="both"/>
      </w:pPr>
    </w:p>
    <w:p w14:paraId="2317A98C" w14:textId="3853243F" w:rsidR="002803B8" w:rsidRDefault="00410E22" w:rsidP="00A95B93">
      <w:pPr>
        <w:pStyle w:val="NoSpacing"/>
        <w:jc w:val="center"/>
        <w:rPr>
          <w:b/>
        </w:rPr>
      </w:pPr>
      <w:r>
        <w:rPr>
          <w:b/>
        </w:rPr>
        <w:t xml:space="preserve">I. </w:t>
      </w:r>
      <w:r w:rsidR="00864406">
        <w:rPr>
          <w:b/>
        </w:rPr>
        <w:t>THE EXPANSION OF SELECTION COMMITTEES:</w:t>
      </w:r>
      <w:r w:rsidR="002803B8">
        <w:rPr>
          <w:b/>
        </w:rPr>
        <w:t xml:space="preserve"> </w:t>
      </w:r>
    </w:p>
    <w:p w14:paraId="43AD734F" w14:textId="6CF354D0" w:rsidR="00410E22" w:rsidRPr="00E07DEA" w:rsidRDefault="00C55E0E" w:rsidP="00A95B93">
      <w:pPr>
        <w:pStyle w:val="NoSpacing"/>
        <w:jc w:val="center"/>
        <w:rPr>
          <w:b/>
        </w:rPr>
      </w:pPr>
      <w:r>
        <w:rPr>
          <w:b/>
        </w:rPr>
        <w:t>FOCUSING ON IMPACT OVER PROCESS, OUTCOMES OVER ACTORS</w:t>
      </w:r>
    </w:p>
    <w:p w14:paraId="3C059730" w14:textId="77777777" w:rsidR="00A95B93" w:rsidRDefault="00A95B93" w:rsidP="00410E22">
      <w:pPr>
        <w:pStyle w:val="NoSpacing"/>
        <w:jc w:val="both"/>
      </w:pPr>
    </w:p>
    <w:p w14:paraId="2B176BAE" w14:textId="2E39EA85" w:rsidR="00F24F4E" w:rsidRDefault="002475B8" w:rsidP="00410E22">
      <w:pPr>
        <w:pStyle w:val="NoSpacing"/>
        <w:jc w:val="both"/>
      </w:pPr>
      <w:r>
        <w:t>Since the 1970s, t</w:t>
      </w:r>
      <w:r w:rsidR="00F24F4E">
        <w:t>he</w:t>
      </w:r>
      <w:r w:rsidR="00410E22" w:rsidRPr="00233C34">
        <w:t xml:space="preserve"> select committee system</w:t>
      </w:r>
      <w:r w:rsidR="00410E22">
        <w:t xml:space="preserve"> at Westminster</w:t>
      </w:r>
      <w:r w:rsidR="00410E22" w:rsidRPr="00233C34">
        <w:t xml:space="preserve"> has progressively expanded, in terms of remit, activity and power</w:t>
      </w:r>
      <w:r>
        <w:t>.</w:t>
      </w:r>
      <w:r>
        <w:rPr>
          <w:rStyle w:val="FootnoteReference"/>
        </w:rPr>
        <w:footnoteReference w:id="10"/>
      </w:r>
      <w:r w:rsidR="00F24F4E">
        <w:t xml:space="preserve"> </w:t>
      </w:r>
      <w:r w:rsidR="00C71F8D">
        <w:t>It is</w:t>
      </w:r>
      <w:r w:rsidR="00410E22" w:rsidRPr="00233C34">
        <w:t xml:space="preserve"> now seen as the primary mechanism through which the Executive is held to account, and increasingly </w:t>
      </w:r>
      <w:r w:rsidR="00F24F4E">
        <w:t xml:space="preserve">as </w:t>
      </w:r>
      <w:r w:rsidR="00410E22" w:rsidRPr="00233C34">
        <w:t xml:space="preserve">a means by which the conduct of third parties can be scrutinised. </w:t>
      </w:r>
      <w:r w:rsidR="00410E22">
        <w:t>Select</w:t>
      </w:r>
      <w:r w:rsidR="00410E22" w:rsidRPr="00233C34">
        <w:t xml:space="preserve"> committee work is now seen as an alternative career path</w:t>
      </w:r>
      <w:r w:rsidR="00796C26">
        <w:t xml:space="preserve"> for MPs, </w:t>
      </w:r>
      <w:r w:rsidR="00410E22" w:rsidRPr="00233C34">
        <w:t xml:space="preserve">a means </w:t>
      </w:r>
      <w:r w:rsidR="00796C26">
        <w:t>for</w:t>
      </w:r>
      <w:r w:rsidR="00796C26" w:rsidRPr="00233C34">
        <w:t xml:space="preserve"> </w:t>
      </w:r>
      <w:r w:rsidR="00410E22" w:rsidRPr="00233C34">
        <w:t xml:space="preserve">backbench MPs </w:t>
      </w:r>
      <w:r w:rsidR="00796C26">
        <w:t>to</w:t>
      </w:r>
      <w:r w:rsidR="00410E22" w:rsidRPr="00233C34">
        <w:t xml:space="preserve"> influence policy and government.</w:t>
      </w:r>
      <w:r w:rsidR="00410E22" w:rsidRPr="00233C34">
        <w:rPr>
          <w:rStyle w:val="FootnoteReference"/>
        </w:rPr>
        <w:footnoteReference w:id="11"/>
      </w:r>
      <w:r w:rsidR="007D4524">
        <w:t xml:space="preserve"> </w:t>
      </w:r>
    </w:p>
    <w:p w14:paraId="31199F0C" w14:textId="77777777" w:rsidR="00F24F4E" w:rsidRDefault="00F24F4E" w:rsidP="00410E22">
      <w:pPr>
        <w:pStyle w:val="NoSpacing"/>
        <w:jc w:val="both"/>
      </w:pPr>
    </w:p>
    <w:p w14:paraId="7CD4AB3F" w14:textId="682002AF" w:rsidR="00410E22" w:rsidRDefault="00F24F4E" w:rsidP="00410E22">
      <w:pPr>
        <w:pStyle w:val="NoSpacing"/>
        <w:jc w:val="both"/>
      </w:pPr>
      <w:r>
        <w:t>R</w:t>
      </w:r>
      <w:r w:rsidR="00867943">
        <w:t>esearch</w:t>
      </w:r>
      <w:r w:rsidR="00633EF0">
        <w:t xml:space="preserve"> in political science</w:t>
      </w:r>
      <w:r w:rsidR="00410E22">
        <w:t xml:space="preserve"> has </w:t>
      </w:r>
      <w:r w:rsidR="00867943">
        <w:t xml:space="preserve">mostly </w:t>
      </w:r>
      <w:r w:rsidR="00410E22">
        <w:t>focused on showing the influence and impact</w:t>
      </w:r>
      <w:r w:rsidR="00410E22" w:rsidRPr="00522897">
        <w:t xml:space="preserve"> </w:t>
      </w:r>
      <w:r w:rsidR="00410E22">
        <w:t>of select committee work.</w:t>
      </w:r>
      <w:r w:rsidR="00410E22">
        <w:rPr>
          <w:rStyle w:val="FootnoteReference"/>
        </w:rPr>
        <w:footnoteReference w:id="12"/>
      </w:r>
      <w:r w:rsidR="00410E22">
        <w:t xml:space="preserve"> It forms part of a broader reconsideration currently taking place: Parliament </w:t>
      </w:r>
      <w:r>
        <w:t>is</w:t>
      </w:r>
      <w:r w:rsidR="00410E22">
        <w:t xml:space="preserve"> now understood to have a much greater influence over both legislation and policy than previously thought.</w:t>
      </w:r>
      <w:r w:rsidR="00410E22">
        <w:rPr>
          <w:rStyle w:val="FootnoteReference"/>
        </w:rPr>
        <w:footnoteReference w:id="13"/>
      </w:r>
      <w:r w:rsidR="00410E22">
        <w:t xml:space="preserve"> However, research on the internal dynamics of committees and the process of </w:t>
      </w:r>
      <w:r w:rsidR="00312647">
        <w:t xml:space="preserve">committee </w:t>
      </w:r>
      <w:r w:rsidR="00410E22">
        <w:t>decision</w:t>
      </w:r>
      <w:r w:rsidR="00867943">
        <w:t>-</w:t>
      </w:r>
      <w:r w:rsidR="00410E22">
        <w:t>making remains limited.</w:t>
      </w:r>
      <w:r w:rsidR="004F0677">
        <w:rPr>
          <w:rStyle w:val="FootnoteReference"/>
        </w:rPr>
        <w:footnoteReference w:id="14"/>
      </w:r>
      <w:r w:rsidR="00410E22">
        <w:t xml:space="preserve"> Examination of the work of </w:t>
      </w:r>
      <w:r w:rsidR="00701E03">
        <w:t xml:space="preserve">Westminster </w:t>
      </w:r>
      <w:r w:rsidR="00410E22">
        <w:t>parliamentary staff</w:t>
      </w:r>
      <w:r w:rsidR="004F0677">
        <w:t xml:space="preserve"> </w:t>
      </w:r>
      <w:r w:rsidR="00410E22">
        <w:t>has yet to be seriously undertaken.</w:t>
      </w:r>
      <w:r w:rsidR="00410E22">
        <w:rPr>
          <w:rStyle w:val="FootnoteReference"/>
        </w:rPr>
        <w:footnoteReference w:id="15"/>
      </w:r>
      <w:r w:rsidR="00410E22">
        <w:t xml:space="preserve"> The literature that does exist suggests that legislative staff have an important influence over the work and decisions of committees.</w:t>
      </w:r>
      <w:r w:rsidR="00410E22">
        <w:rPr>
          <w:rStyle w:val="FootnoteReference"/>
        </w:rPr>
        <w:footnoteReference w:id="16"/>
      </w:r>
      <w:r w:rsidR="006022D0">
        <w:t xml:space="preserve"> </w:t>
      </w:r>
      <w:r w:rsidR="006022D0" w:rsidRPr="00E545C2">
        <w:t>Understanding legislative staff</w:t>
      </w:r>
      <w:r w:rsidR="00741B07">
        <w:t xml:space="preserve"> and their work</w:t>
      </w:r>
      <w:r w:rsidR="006022D0" w:rsidRPr="00E545C2">
        <w:t xml:space="preserve"> is therefore key to unveil the processes through which select committees may exert influence.</w:t>
      </w:r>
    </w:p>
    <w:p w14:paraId="53890BE3" w14:textId="77777777" w:rsidR="006022D0" w:rsidRPr="00E13846" w:rsidRDefault="006022D0" w:rsidP="00410E22">
      <w:pPr>
        <w:pStyle w:val="NoSpacing"/>
        <w:jc w:val="both"/>
      </w:pPr>
    </w:p>
    <w:p w14:paraId="729F95BD" w14:textId="18230573" w:rsidR="0085265A" w:rsidRDefault="00867943" w:rsidP="00410E22">
      <w:pPr>
        <w:pStyle w:val="NoSpacing"/>
        <w:jc w:val="both"/>
      </w:pPr>
      <w:r>
        <w:t>Legal academics have used committees</w:t>
      </w:r>
      <w:r w:rsidR="00410E22">
        <w:t xml:space="preserve"> to interrogate the relationship between law and politics. In recent years there have been concerns about the juridification of politics: the colonisation of the political sphere by legal norms.</w:t>
      </w:r>
      <w:r w:rsidR="00410E22">
        <w:rPr>
          <w:rStyle w:val="FootnoteReference"/>
        </w:rPr>
        <w:footnoteReference w:id="17"/>
      </w:r>
      <w:r w:rsidR="00410E22">
        <w:t xml:space="preserve"> Thus, committees have been conceptualised as a means through which constitutional values and the rule of law are protected;</w:t>
      </w:r>
      <w:r w:rsidR="00410E22">
        <w:rPr>
          <w:rStyle w:val="FootnoteReference"/>
        </w:rPr>
        <w:footnoteReference w:id="18"/>
      </w:r>
      <w:r w:rsidR="00410E22">
        <w:t xml:space="preserve"> and as a way of breaking the impasse between the schools of political and legal constitutionalism—the former viewing Parliament as the more legitimate means of ensuring accountability and government under the law</w:t>
      </w:r>
      <w:r w:rsidR="002475B8">
        <w:t xml:space="preserve">, </w:t>
      </w:r>
      <w:r w:rsidR="00410E22">
        <w:t>the latter viewing the courts as the better mechanism.</w:t>
      </w:r>
      <w:r w:rsidR="00410E22">
        <w:rPr>
          <w:rStyle w:val="FootnoteReference"/>
        </w:rPr>
        <w:footnoteReference w:id="19"/>
      </w:r>
    </w:p>
    <w:p w14:paraId="6F406DCA" w14:textId="77777777" w:rsidR="0085265A" w:rsidRDefault="0085265A" w:rsidP="00410E22">
      <w:pPr>
        <w:pStyle w:val="NoSpacing"/>
        <w:jc w:val="both"/>
      </w:pPr>
    </w:p>
    <w:p w14:paraId="11DE5792" w14:textId="747A9CD6" w:rsidR="00701E03" w:rsidRDefault="00410E22" w:rsidP="00410E22">
      <w:pPr>
        <w:pStyle w:val="NoSpacing"/>
        <w:jc w:val="both"/>
      </w:pPr>
      <w:r>
        <w:lastRenderedPageBreak/>
        <w:t xml:space="preserve">Some </w:t>
      </w:r>
      <w:r w:rsidR="00EE1114">
        <w:t xml:space="preserve">legal </w:t>
      </w:r>
      <w:r>
        <w:t xml:space="preserve">academics, advocating a shift towards </w:t>
      </w:r>
      <w:r w:rsidR="00701E03">
        <w:t xml:space="preserve">greater transparency, </w:t>
      </w:r>
      <w:r>
        <w:t>a culture of justification, or commitment to deliberative democracy, have made a broader argument: legal advice to the legislature should be published</w:t>
      </w:r>
      <w:r w:rsidR="00867943" w:rsidRPr="00AA35A4">
        <w:t xml:space="preserve">—or at least </w:t>
      </w:r>
      <w:r w:rsidR="002475B8">
        <w:t xml:space="preserve">there should be </w:t>
      </w:r>
      <w:r w:rsidR="00867943">
        <w:t>greater public</w:t>
      </w:r>
      <w:r w:rsidR="00867943" w:rsidRPr="00AA35A4">
        <w:t xml:space="preserve"> detail </w:t>
      </w:r>
      <w:r w:rsidR="00867943">
        <w:t xml:space="preserve">on </w:t>
      </w:r>
      <w:r w:rsidR="00867943" w:rsidRPr="00AA35A4">
        <w:t>the legal reasoning for particular decisions by legislative actors</w:t>
      </w:r>
      <w:r>
        <w:t>.</w:t>
      </w:r>
      <w:r w:rsidR="00701E03" w:rsidRPr="00F31E18">
        <w:rPr>
          <w:rStyle w:val="FootnoteReference"/>
        </w:rPr>
        <w:footnoteReference w:id="20"/>
      </w:r>
      <w:r>
        <w:t xml:space="preserve"> </w:t>
      </w:r>
      <w:r w:rsidRPr="00F31E18">
        <w:t xml:space="preserve">Publication would encourage dialogue and deliberation amongst parliamentarians, and/or assist members in their duty to evaluate the legality and constitutionality of executive action and proposed legislation. </w:t>
      </w:r>
      <w:r w:rsidR="00701E03">
        <w:t xml:space="preserve">It is worth noting that </w:t>
      </w:r>
      <w:r w:rsidR="00701E03" w:rsidRPr="00701E03">
        <w:t>there is now an expectation that legal advice provided by the Europea</w:t>
      </w:r>
      <w:r w:rsidR="00701E03">
        <w:t xml:space="preserve">n Parliament’s </w:t>
      </w:r>
      <w:r w:rsidR="00701E03" w:rsidRPr="00701E03">
        <w:t xml:space="preserve">legal service </w:t>
      </w:r>
      <w:r w:rsidR="00701E03">
        <w:t>shall be published</w:t>
      </w:r>
      <w:r w:rsidR="00701E03" w:rsidRPr="00701E03">
        <w:t>.</w:t>
      </w:r>
      <w:r w:rsidR="00701E03" w:rsidRPr="00701E03">
        <w:rPr>
          <w:rStyle w:val="FootnoteReference"/>
        </w:rPr>
        <w:footnoteReference w:id="21"/>
      </w:r>
    </w:p>
    <w:p w14:paraId="19D24360" w14:textId="77777777" w:rsidR="00701E03" w:rsidRDefault="00701E03" w:rsidP="00410E22">
      <w:pPr>
        <w:pStyle w:val="NoSpacing"/>
        <w:jc w:val="both"/>
      </w:pPr>
    </w:p>
    <w:p w14:paraId="7BE48E65" w14:textId="09EFA9A5" w:rsidR="00410E22" w:rsidRDefault="00867943" w:rsidP="00410E22">
      <w:pPr>
        <w:pStyle w:val="NoSpacing"/>
        <w:jc w:val="both"/>
      </w:pPr>
      <w:r>
        <w:t xml:space="preserve">Legal </w:t>
      </w:r>
      <w:r w:rsidR="007D144B">
        <w:t>research</w:t>
      </w:r>
      <w:r w:rsidR="00410E22">
        <w:t xml:space="preserve">, however, </w:t>
      </w:r>
      <w:r w:rsidR="007D144B">
        <w:t>has</w:t>
      </w:r>
      <w:r>
        <w:t xml:space="preserve"> </w:t>
      </w:r>
      <w:r w:rsidR="007D144B">
        <w:t xml:space="preserve">focused </w:t>
      </w:r>
      <w:r w:rsidR="00410E22">
        <w:t>on select committees</w:t>
      </w:r>
      <w:r w:rsidR="002F31F2">
        <w:t xml:space="preserve"> with legal remits.</w:t>
      </w:r>
      <w:r w:rsidR="002F31F2">
        <w:rPr>
          <w:rStyle w:val="FootnoteReference"/>
        </w:rPr>
        <w:footnoteReference w:id="22"/>
      </w:r>
      <w:r w:rsidR="00410E22">
        <w:t xml:space="preserve"> </w:t>
      </w:r>
      <w:r>
        <w:t>They do</w:t>
      </w:r>
      <w:r w:rsidR="00410E22">
        <w:t xml:space="preserve"> not tell us about how the broader group of select committees engage with in-house legal advice and the work of parliamentary lawyers</w:t>
      </w:r>
      <w:r w:rsidR="002F31F2">
        <w:t>;</w:t>
      </w:r>
      <w:r w:rsidR="00410E22">
        <w:rPr>
          <w:rStyle w:val="FootnoteReference"/>
        </w:rPr>
        <w:footnoteReference w:id="23"/>
      </w:r>
      <w:r w:rsidR="00410E22">
        <w:t xml:space="preserve"> </w:t>
      </w:r>
      <w:r w:rsidR="002F31F2">
        <w:t>it</w:t>
      </w:r>
      <w:r w:rsidR="00410E22">
        <w:t xml:space="preserve"> has </w:t>
      </w:r>
      <w:r w:rsidR="00741B07">
        <w:t xml:space="preserve">also </w:t>
      </w:r>
      <w:r w:rsidR="00410E22">
        <w:t>been about the impact and influence of committee work,</w:t>
      </w:r>
      <w:r w:rsidR="00410E22" w:rsidRPr="00CC655A">
        <w:t xml:space="preserve"> </w:t>
      </w:r>
      <w:r w:rsidR="00410E22">
        <w:t>and less on the process by which legal advice is provided and received.</w:t>
      </w:r>
      <w:r w:rsidR="00410E22">
        <w:rPr>
          <w:rStyle w:val="FootnoteReference"/>
        </w:rPr>
        <w:footnoteReference w:id="24"/>
      </w:r>
      <w:r w:rsidR="00410E22">
        <w:t xml:space="preserve"> The implicit framework is </w:t>
      </w:r>
      <w:r w:rsidR="00410E22" w:rsidRPr="00BD3146">
        <w:rPr>
          <w:i/>
        </w:rPr>
        <w:t>inter</w:t>
      </w:r>
      <w:r w:rsidR="00410E22">
        <w:t xml:space="preserve">-institutional: comparing Parliament and the courts. </w:t>
      </w:r>
      <w:r w:rsidR="000B31BA">
        <w:rPr>
          <w:i/>
        </w:rPr>
        <w:t>I</w:t>
      </w:r>
      <w:r w:rsidR="000B31BA" w:rsidRPr="00BD3146">
        <w:rPr>
          <w:i/>
        </w:rPr>
        <w:t>ntra</w:t>
      </w:r>
      <w:r w:rsidR="000B31BA">
        <w:t>-institutional a</w:t>
      </w:r>
      <w:r w:rsidR="00410E22">
        <w:t xml:space="preserve">nalyses, or </w:t>
      </w:r>
      <w:r w:rsidR="00312647">
        <w:t xml:space="preserve">analyses of </w:t>
      </w:r>
      <w:r w:rsidR="00410E22">
        <w:t xml:space="preserve">the internal work of committees, are rare: we </w:t>
      </w:r>
      <w:r w:rsidR="00E53B14">
        <w:t xml:space="preserve">are </w:t>
      </w:r>
      <w:r w:rsidR="00410E22">
        <w:t xml:space="preserve">told about parliamentary lawyers in committees but rarely about their relationships with other committee actors. </w:t>
      </w:r>
    </w:p>
    <w:p w14:paraId="0A37B8E6" w14:textId="77777777" w:rsidR="00410E22" w:rsidRPr="002D07CF" w:rsidRDefault="00410E22" w:rsidP="00410E22">
      <w:pPr>
        <w:pStyle w:val="NoSpacing"/>
        <w:jc w:val="both"/>
      </w:pPr>
    </w:p>
    <w:p w14:paraId="16BCFAF1" w14:textId="4A4BD590" w:rsidR="00410E22" w:rsidRDefault="00410E22" w:rsidP="00410E22">
      <w:pPr>
        <w:pStyle w:val="NoSpacing"/>
        <w:jc w:val="both"/>
      </w:pPr>
      <w:r>
        <w:t xml:space="preserve">Thus, research in law and political science have concentrated on select committee impact over process, and outcomes over actors. Select committees </w:t>
      </w:r>
      <w:r w:rsidR="00EE1114">
        <w:t>remain</w:t>
      </w:r>
      <w:r>
        <w:t xml:space="preserve"> ‘black boxes’. Process and impact, however, cannot be easily separated: processes may strongly in</w:t>
      </w:r>
      <w:r w:rsidR="0085265A">
        <w:t>fluence outcomes. Examining the processes of provision and publication of</w:t>
      </w:r>
      <w:r>
        <w:t xml:space="preserve"> legal advice may offer us insights into committee decision-making, how legislative actors interact and how committees might best exert influence. Moreover, examining actors’ views about publication may also tell us more about the ‘internal’ view of Parliament—what legislative actors think is the appropriate relationship between law and politics. </w:t>
      </w:r>
    </w:p>
    <w:p w14:paraId="6AF3A98B" w14:textId="77777777" w:rsidR="00410E22" w:rsidRDefault="00410E22" w:rsidP="00410E22">
      <w:pPr>
        <w:pStyle w:val="NoSpacing"/>
        <w:jc w:val="both"/>
      </w:pPr>
    </w:p>
    <w:p w14:paraId="20BC29F7" w14:textId="7B8531C3" w:rsidR="00410E22" w:rsidRPr="00CC07E8" w:rsidRDefault="00410E22" w:rsidP="00A95B93">
      <w:pPr>
        <w:pStyle w:val="NoSpacing"/>
        <w:jc w:val="center"/>
        <w:rPr>
          <w:b/>
        </w:rPr>
      </w:pPr>
      <w:r>
        <w:rPr>
          <w:b/>
        </w:rPr>
        <w:t xml:space="preserve">II. </w:t>
      </w:r>
      <w:r w:rsidR="007D2B8A">
        <w:rPr>
          <w:b/>
        </w:rPr>
        <w:t>METHODOLOGY</w:t>
      </w:r>
    </w:p>
    <w:p w14:paraId="3D85D891" w14:textId="77777777" w:rsidR="00A95B93" w:rsidRDefault="00A95B93" w:rsidP="00410E22">
      <w:pPr>
        <w:pStyle w:val="NoSpacing"/>
        <w:jc w:val="both"/>
      </w:pPr>
    </w:p>
    <w:p w14:paraId="6DA2B4EE" w14:textId="6E5BBC46" w:rsidR="00410E22" w:rsidRDefault="00410E22" w:rsidP="00410E22">
      <w:pPr>
        <w:pStyle w:val="NoSpacing"/>
        <w:jc w:val="both"/>
      </w:pPr>
      <w:r w:rsidRPr="00A50632">
        <w:t xml:space="preserve">This paper draws on data from </w:t>
      </w:r>
      <w:r w:rsidR="00E53B14">
        <w:t>a</w:t>
      </w:r>
      <w:r>
        <w:t xml:space="preserve"> </w:t>
      </w:r>
      <w:r w:rsidRPr="00A50632">
        <w:t xml:space="preserve">project </w:t>
      </w:r>
      <w:r>
        <w:t xml:space="preserve">examining </w:t>
      </w:r>
      <w:r w:rsidRPr="00A50632">
        <w:t xml:space="preserve">the provision and reception of legal support in the </w:t>
      </w:r>
      <w:r w:rsidR="00BD3A27" w:rsidRPr="00DD1AC5">
        <w:t>four</w:t>
      </w:r>
      <w:r w:rsidR="00BD3A27">
        <w:t xml:space="preserve"> </w:t>
      </w:r>
      <w:r w:rsidRPr="00A50632">
        <w:t>legislatures of the UK.</w:t>
      </w:r>
      <w:r>
        <w:t xml:space="preserve"> Our primary research method are </w:t>
      </w:r>
      <w:r w:rsidRPr="00EF2692">
        <w:t>semi-structured elite interviews</w:t>
      </w:r>
      <w:r>
        <w:t xml:space="preserve"> conducted over 2017-18. </w:t>
      </w:r>
      <w:r w:rsidRPr="00A50632">
        <w:t xml:space="preserve">We aimed to capture a variety of actors: those who provide legal </w:t>
      </w:r>
      <w:r>
        <w:t>support</w:t>
      </w:r>
      <w:r w:rsidR="00EF33E3">
        <w:t xml:space="preserve">—primarily, </w:t>
      </w:r>
      <w:r>
        <w:t>in-house parliamentary lawyers</w:t>
      </w:r>
      <w:r w:rsidR="00EF33E3">
        <w:t>—</w:t>
      </w:r>
      <w:r>
        <w:t>and</w:t>
      </w:r>
      <w:r w:rsidRPr="00A50632">
        <w:t xml:space="preserve"> those who receive it</w:t>
      </w:r>
      <w:r>
        <w:t xml:space="preserve">—clerks and parliamentarians. </w:t>
      </w:r>
    </w:p>
    <w:p w14:paraId="16040440" w14:textId="77777777" w:rsidR="00410E22" w:rsidRPr="00697F98" w:rsidRDefault="00410E22" w:rsidP="00410E22">
      <w:pPr>
        <w:pStyle w:val="NoSpacing"/>
        <w:jc w:val="both"/>
      </w:pPr>
    </w:p>
    <w:p w14:paraId="3323D368" w14:textId="4581FBF5" w:rsidR="00410E22" w:rsidRPr="0038390E" w:rsidRDefault="00743841" w:rsidP="00410E22">
      <w:pPr>
        <w:pStyle w:val="NoSpacing"/>
        <w:jc w:val="both"/>
      </w:pPr>
      <w:r>
        <w:t>In Westminster, 27</w:t>
      </w:r>
      <w:r w:rsidR="00410E22">
        <w:t xml:space="preserve"> individuals </w:t>
      </w:r>
      <w:r w:rsidR="00451A79">
        <w:t xml:space="preserve">involved in the provision and reception of in-house legal advice </w:t>
      </w:r>
      <w:r>
        <w:t>have been interviewed: 11</w:t>
      </w:r>
      <w:r w:rsidR="00410E22">
        <w:t xml:space="preserve"> in-house lawyers; eight clerks; </w:t>
      </w:r>
      <w:r w:rsidR="00A93A35">
        <w:t xml:space="preserve">and </w:t>
      </w:r>
      <w:r w:rsidR="00410E22">
        <w:t xml:space="preserve">eight parliamentarians. We interviewed an equal number of clerks and lawyers from the House of Commons and the House of Lords (with some lawyers serving joint committees). Of the parliamentarians, three are MPs, five are peers (one of whom is a former MP); and half were or are chairs of select committees. We interviewed former and current office-holders on the condition of anonymity. Interviews were semi-structured, recorded and transcribed; they were then coded using NVivo. </w:t>
      </w:r>
      <w:r w:rsidR="00FC18A7">
        <w:t>We</w:t>
      </w:r>
      <w:r w:rsidR="00410E22">
        <w:t xml:space="preserve"> have also drawn on publicly available parliamentary documents—in particular, select committee reports, parliamentary debates and published legal advice—in part, to circumvent issues about client confidentiality.  </w:t>
      </w:r>
    </w:p>
    <w:p w14:paraId="2BB1E092" w14:textId="77777777" w:rsidR="006F62ED" w:rsidRDefault="006F62ED" w:rsidP="0035334A">
      <w:pPr>
        <w:pStyle w:val="NoSpacing"/>
        <w:jc w:val="both"/>
      </w:pPr>
    </w:p>
    <w:p w14:paraId="17461336" w14:textId="2AA3DEC6" w:rsidR="000B31BA" w:rsidRDefault="00410E22" w:rsidP="0035334A">
      <w:pPr>
        <w:pStyle w:val="NoSpacing"/>
        <w:jc w:val="both"/>
      </w:pPr>
      <w:r w:rsidRPr="002D5E7B">
        <w:t xml:space="preserve">In this paper, we </w:t>
      </w:r>
      <w:r w:rsidR="00DD401C">
        <w:t>look only</w:t>
      </w:r>
      <w:r w:rsidR="00C162AF">
        <w:t xml:space="preserve"> at the phenomenon of</w:t>
      </w:r>
      <w:r w:rsidRPr="002D5E7B">
        <w:t xml:space="preserve"> legal advice provided by in-house parliamentary lawyers to select committees</w:t>
      </w:r>
      <w:r w:rsidR="00DD401C">
        <w:t>,</w:t>
      </w:r>
      <w:r w:rsidRPr="002D5E7B">
        <w:t xml:space="preserve"> which has been officially published in full and separately to </w:t>
      </w:r>
      <w:r w:rsidR="00C162AF">
        <w:t xml:space="preserve">the main body of </w:t>
      </w:r>
      <w:r w:rsidRPr="002D5E7B">
        <w:t>a committee report (as opposed to referred to or interwoven into the text).</w:t>
      </w:r>
      <w:r w:rsidR="00451A79" w:rsidRPr="002D5E7B">
        <w:rPr>
          <w:rStyle w:val="FootnoteReference"/>
        </w:rPr>
        <w:t xml:space="preserve"> </w:t>
      </w:r>
      <w:r w:rsidR="006E69F8" w:rsidRPr="00BC3C0C">
        <w:rPr>
          <w:highlight w:val="yellow"/>
        </w:rPr>
        <w:t xml:space="preserve">We do not cover </w:t>
      </w:r>
      <w:r w:rsidR="0058799C" w:rsidRPr="00BC3C0C">
        <w:rPr>
          <w:highlight w:val="yellow"/>
        </w:rPr>
        <w:t>evidence given by</w:t>
      </w:r>
      <w:r w:rsidR="006E69F8" w:rsidRPr="00BC3C0C">
        <w:rPr>
          <w:highlight w:val="yellow"/>
        </w:rPr>
        <w:t xml:space="preserve"> witnesses</w:t>
      </w:r>
      <w:r w:rsidR="0058799C" w:rsidRPr="00BC3C0C">
        <w:rPr>
          <w:highlight w:val="yellow"/>
        </w:rPr>
        <w:t xml:space="preserve">. </w:t>
      </w:r>
      <w:r w:rsidR="000B31BA" w:rsidRPr="00BC3C0C">
        <w:rPr>
          <w:highlight w:val="yellow"/>
        </w:rPr>
        <w:t>This</w:t>
      </w:r>
      <w:r w:rsidR="0058799C" w:rsidRPr="00BC3C0C">
        <w:rPr>
          <w:highlight w:val="yellow"/>
        </w:rPr>
        <w:t xml:space="preserve"> work is important, but </w:t>
      </w:r>
      <w:r w:rsidR="000B31BA" w:rsidRPr="00BC3C0C">
        <w:rPr>
          <w:highlight w:val="yellow"/>
        </w:rPr>
        <w:t>it is</w:t>
      </w:r>
      <w:r w:rsidR="0058799C" w:rsidRPr="00BC3C0C">
        <w:rPr>
          <w:highlight w:val="yellow"/>
        </w:rPr>
        <w:t xml:space="preserve"> not</w:t>
      </w:r>
      <w:r w:rsidR="000B31BA" w:rsidRPr="00BC3C0C">
        <w:rPr>
          <w:highlight w:val="yellow"/>
        </w:rPr>
        <w:t xml:space="preserve"> given by</w:t>
      </w:r>
      <w:r w:rsidR="0058799C" w:rsidRPr="00BC3C0C">
        <w:rPr>
          <w:highlight w:val="yellow"/>
        </w:rPr>
        <w:t xml:space="preserve"> in-house staff and therefore not subject to the internal norms </w:t>
      </w:r>
      <w:r w:rsidR="00B34402" w:rsidRPr="00572867">
        <w:rPr>
          <w:highlight w:val="yellow"/>
        </w:rPr>
        <w:t>governing permanent parliamentary staff</w:t>
      </w:r>
      <w:r w:rsidR="008608F5" w:rsidRPr="00572867">
        <w:rPr>
          <w:highlight w:val="yellow"/>
        </w:rPr>
        <w:t>.</w:t>
      </w:r>
      <w:r w:rsidR="008608F5">
        <w:rPr>
          <w:highlight w:val="yellow"/>
        </w:rPr>
        <w:t xml:space="preserve"> Moreover,</w:t>
      </w:r>
      <w:r w:rsidR="0058799C" w:rsidRPr="00BC3C0C">
        <w:rPr>
          <w:highlight w:val="yellow"/>
        </w:rPr>
        <w:t xml:space="preserve"> </w:t>
      </w:r>
      <w:r w:rsidR="00DD401C">
        <w:rPr>
          <w:highlight w:val="yellow"/>
        </w:rPr>
        <w:t>evidence</w:t>
      </w:r>
      <w:r w:rsidR="0058799C" w:rsidRPr="00BC3C0C">
        <w:rPr>
          <w:highlight w:val="yellow"/>
        </w:rPr>
        <w:t xml:space="preserve"> </w:t>
      </w:r>
      <w:r w:rsidR="008608F5">
        <w:rPr>
          <w:highlight w:val="yellow"/>
        </w:rPr>
        <w:t>is routinely</w:t>
      </w:r>
      <w:r w:rsidR="0058799C" w:rsidRPr="00BC3C0C">
        <w:rPr>
          <w:highlight w:val="yellow"/>
        </w:rPr>
        <w:t xml:space="preserve"> published</w:t>
      </w:r>
      <w:r w:rsidR="008608F5">
        <w:rPr>
          <w:highlight w:val="yellow"/>
        </w:rPr>
        <w:t xml:space="preserve">; </w:t>
      </w:r>
      <w:r w:rsidR="00DD401C">
        <w:rPr>
          <w:highlight w:val="yellow"/>
        </w:rPr>
        <w:t xml:space="preserve">its </w:t>
      </w:r>
      <w:r w:rsidR="008608F5">
        <w:rPr>
          <w:highlight w:val="yellow"/>
        </w:rPr>
        <w:t xml:space="preserve">publication does not </w:t>
      </w:r>
      <w:r w:rsidR="0058799C" w:rsidRPr="00BC3C0C">
        <w:rPr>
          <w:highlight w:val="yellow"/>
        </w:rPr>
        <w:t>incur an obligation on the committee to agree or comply with it.</w:t>
      </w:r>
      <w:r w:rsidR="00451A79" w:rsidRPr="00BC3C0C">
        <w:rPr>
          <w:rStyle w:val="FootnoteReference"/>
          <w:highlight w:val="yellow"/>
        </w:rPr>
        <w:footnoteReference w:id="25"/>
      </w:r>
      <w:r w:rsidR="00451A79" w:rsidRPr="002D5E7B">
        <w:t xml:space="preserve"> </w:t>
      </w:r>
      <w:r w:rsidR="00E17042">
        <w:t>We also do not cover leaked legal advice, although leaks will touch upon many of the issues we deal with this in this paper.</w:t>
      </w:r>
      <w:r w:rsidR="00E17042">
        <w:rPr>
          <w:rStyle w:val="FootnoteReference"/>
        </w:rPr>
        <w:footnoteReference w:id="26"/>
      </w:r>
    </w:p>
    <w:p w14:paraId="2426D608" w14:textId="77777777" w:rsidR="0003039B" w:rsidRDefault="0003039B" w:rsidP="0035334A">
      <w:pPr>
        <w:pStyle w:val="NoSpacing"/>
        <w:jc w:val="both"/>
      </w:pPr>
    </w:p>
    <w:p w14:paraId="5A204071" w14:textId="6B1680E1" w:rsidR="0035334A" w:rsidRDefault="00131129" w:rsidP="0035334A">
      <w:pPr>
        <w:pStyle w:val="NoSpacing"/>
        <w:jc w:val="both"/>
      </w:pPr>
      <w:r>
        <w:t>We</w:t>
      </w:r>
      <w:r w:rsidR="002D5E7B" w:rsidRPr="002D5E7B">
        <w:t xml:space="preserve"> </w:t>
      </w:r>
      <w:r>
        <w:t>have identified seven examples</w:t>
      </w:r>
      <w:r w:rsidR="002D5E7B" w:rsidRPr="002D5E7B">
        <w:t xml:space="preserve"> through analysis of parliamentary document</w:t>
      </w:r>
      <w:r>
        <w:t>s</w:t>
      </w:r>
      <w:r w:rsidR="002D5E7B" w:rsidRPr="002D5E7B">
        <w:t xml:space="preserve"> and mentions in interviews.</w:t>
      </w:r>
      <w:r w:rsidR="00EE1114">
        <w:rPr>
          <w:rStyle w:val="FootnoteReference"/>
        </w:rPr>
        <w:footnoteReference w:id="27"/>
      </w:r>
      <w:r w:rsidR="00A8493B">
        <w:t xml:space="preserve"> </w:t>
      </w:r>
      <w:r w:rsidR="0035334A">
        <w:t>That is not many, but</w:t>
      </w:r>
      <w:r w:rsidR="0035334A" w:rsidRPr="002D5E7B">
        <w:t xml:space="preserve"> </w:t>
      </w:r>
      <w:r w:rsidR="0055552D">
        <w:t xml:space="preserve">the list is non-exhaustive: there may be more. </w:t>
      </w:r>
      <w:r w:rsidR="00C162AF">
        <w:t>And,</w:t>
      </w:r>
      <w:r w:rsidR="0055552D">
        <w:t xml:space="preserve"> </w:t>
      </w:r>
      <w:r w:rsidR="0035334A" w:rsidRPr="002D5E7B">
        <w:t xml:space="preserve">for the reasons we have already set out, we think that pressures to publish legal </w:t>
      </w:r>
      <w:r w:rsidR="0035334A" w:rsidRPr="002D5E7B">
        <w:lastRenderedPageBreak/>
        <w:t>advice is growing</w:t>
      </w:r>
      <w:r w:rsidR="0035334A">
        <w:t>—indeed, six of the seven examples we have identified have taken place in the past four years</w:t>
      </w:r>
      <w:r w:rsidR="0035334A" w:rsidRPr="002D5E7B">
        <w:t xml:space="preserve">. </w:t>
      </w:r>
      <w:r w:rsidR="00E966A5" w:rsidRPr="0033690F">
        <w:rPr>
          <w:highlight w:val="yellow"/>
        </w:rPr>
        <w:t xml:space="preserve">We </w:t>
      </w:r>
      <w:r w:rsidR="0004660B" w:rsidRPr="0033690F">
        <w:rPr>
          <w:highlight w:val="yellow"/>
        </w:rPr>
        <w:t>explain</w:t>
      </w:r>
      <w:r w:rsidR="00E966A5" w:rsidRPr="0033690F">
        <w:rPr>
          <w:highlight w:val="yellow"/>
        </w:rPr>
        <w:t xml:space="preserve"> some of the</w:t>
      </w:r>
      <w:r w:rsidR="00616EA8" w:rsidRPr="0033690F">
        <w:rPr>
          <w:highlight w:val="yellow"/>
        </w:rPr>
        <w:t xml:space="preserve"> </w:t>
      </w:r>
      <w:r w:rsidR="007C3E38" w:rsidRPr="0033690F">
        <w:rPr>
          <w:highlight w:val="yellow"/>
        </w:rPr>
        <w:t xml:space="preserve">probable </w:t>
      </w:r>
      <w:r w:rsidR="00616EA8" w:rsidRPr="0033690F">
        <w:rPr>
          <w:highlight w:val="yellow"/>
        </w:rPr>
        <w:t>rationales</w:t>
      </w:r>
      <w:r w:rsidR="00E966A5" w:rsidRPr="0033690F">
        <w:rPr>
          <w:highlight w:val="yellow"/>
        </w:rPr>
        <w:t xml:space="preserve"> for </w:t>
      </w:r>
      <w:r w:rsidR="001F21A4" w:rsidRPr="0033690F">
        <w:rPr>
          <w:highlight w:val="yellow"/>
        </w:rPr>
        <w:t>the</w:t>
      </w:r>
      <w:r w:rsidR="0004660B" w:rsidRPr="0033690F">
        <w:rPr>
          <w:highlight w:val="yellow"/>
        </w:rPr>
        <w:t>ir</w:t>
      </w:r>
      <w:r w:rsidR="001F21A4" w:rsidRPr="0033690F">
        <w:rPr>
          <w:highlight w:val="yellow"/>
        </w:rPr>
        <w:t xml:space="preserve"> </w:t>
      </w:r>
      <w:r w:rsidR="00E966A5" w:rsidRPr="0033690F">
        <w:rPr>
          <w:highlight w:val="yellow"/>
        </w:rPr>
        <w:t xml:space="preserve">publication in </w:t>
      </w:r>
      <w:r w:rsidR="00616EA8" w:rsidRPr="0033690F">
        <w:rPr>
          <w:highlight w:val="yellow"/>
        </w:rPr>
        <w:t>Part IV (actors’ views of publication)</w:t>
      </w:r>
      <w:r w:rsidR="0004660B" w:rsidRPr="0033690F">
        <w:rPr>
          <w:highlight w:val="yellow"/>
        </w:rPr>
        <w:t>.</w:t>
      </w:r>
      <w:r w:rsidR="00616EA8" w:rsidRPr="0033690F">
        <w:rPr>
          <w:highlight w:val="yellow"/>
        </w:rPr>
        <w:t xml:space="preserve"> </w:t>
      </w:r>
      <w:r w:rsidR="00AB457E" w:rsidRPr="0033690F">
        <w:rPr>
          <w:highlight w:val="yellow"/>
        </w:rPr>
        <w:t xml:space="preserve">However, </w:t>
      </w:r>
      <w:r w:rsidR="00DE63F5" w:rsidRPr="0033690F">
        <w:rPr>
          <w:highlight w:val="yellow"/>
        </w:rPr>
        <w:t xml:space="preserve">on the limited data, </w:t>
      </w:r>
      <w:r w:rsidR="00AB457E" w:rsidRPr="0033690F">
        <w:rPr>
          <w:highlight w:val="yellow"/>
        </w:rPr>
        <w:t>there is no overriding reason which transcends the particular circumstances of these examples: the dynamics of select committees are too unpredictable. Thus, we ultimately suggest the introduction of written guidance in order to improve consistency.</w:t>
      </w:r>
    </w:p>
    <w:p w14:paraId="7AD2D5C2" w14:textId="77777777" w:rsidR="00DD7C93" w:rsidRDefault="00DD7C93" w:rsidP="00691195">
      <w:pPr>
        <w:pStyle w:val="NoSpacing"/>
        <w:jc w:val="both"/>
        <w:rPr>
          <w:b/>
        </w:rPr>
      </w:pPr>
    </w:p>
    <w:p w14:paraId="1CCB1F21" w14:textId="77777777" w:rsidR="000D2C9A" w:rsidRDefault="00FC2431" w:rsidP="00A95B93">
      <w:pPr>
        <w:pStyle w:val="NoSpacing"/>
        <w:jc w:val="center"/>
        <w:rPr>
          <w:b/>
        </w:rPr>
      </w:pPr>
      <w:r w:rsidRPr="00701E03">
        <w:rPr>
          <w:b/>
        </w:rPr>
        <w:t xml:space="preserve">III. </w:t>
      </w:r>
      <w:r w:rsidR="007D2B8A">
        <w:rPr>
          <w:b/>
        </w:rPr>
        <w:t xml:space="preserve">PROVIDING LEGAL ADVICE TO COMMITTEES: </w:t>
      </w:r>
    </w:p>
    <w:p w14:paraId="77CD3269" w14:textId="37760709" w:rsidR="00561809" w:rsidRPr="00701E03" w:rsidRDefault="007D2B8A" w:rsidP="00A95B93">
      <w:pPr>
        <w:pStyle w:val="NoSpacing"/>
        <w:jc w:val="center"/>
        <w:rPr>
          <w:b/>
        </w:rPr>
      </w:pPr>
      <w:r>
        <w:rPr>
          <w:b/>
        </w:rPr>
        <w:t>FRAMEWORK, ACTORS</w:t>
      </w:r>
      <w:r w:rsidR="000D2C9A">
        <w:rPr>
          <w:b/>
        </w:rPr>
        <w:t>, ROLES</w:t>
      </w:r>
      <w:r>
        <w:rPr>
          <w:b/>
        </w:rPr>
        <w:t xml:space="preserve"> AND PROCESSES </w:t>
      </w:r>
    </w:p>
    <w:p w14:paraId="52D1FB21" w14:textId="77777777" w:rsidR="00A95B93" w:rsidRDefault="00A95B93" w:rsidP="00691195">
      <w:pPr>
        <w:pStyle w:val="NoSpacing"/>
        <w:jc w:val="both"/>
      </w:pPr>
    </w:p>
    <w:p w14:paraId="1613D0C5" w14:textId="5EA9E6CE" w:rsidR="00561809" w:rsidRDefault="00561809" w:rsidP="00691195">
      <w:pPr>
        <w:pStyle w:val="NoSpacing"/>
        <w:jc w:val="both"/>
      </w:pPr>
      <w:r>
        <w:t xml:space="preserve">In this section, </w:t>
      </w:r>
      <w:r w:rsidR="004504D3">
        <w:t>we lay the groundwork to help us understand the intra-institutional dynamics of select committees, and why proposals to publish in-house legal advice may cause tension between actors. We</w:t>
      </w:r>
      <w:r>
        <w:t xml:space="preserve"> set out the institutional framework of select committees</w:t>
      </w:r>
      <w:r w:rsidR="004504D3">
        <w:t>, the processes by which they make decisions, and the actors involved</w:t>
      </w:r>
      <w:r>
        <w:t>.</w:t>
      </w:r>
      <w:r w:rsidR="004504D3">
        <w:t xml:space="preserve"> </w:t>
      </w:r>
      <w:r>
        <w:t xml:space="preserve">We </w:t>
      </w:r>
      <w:r w:rsidR="004504D3">
        <w:t xml:space="preserve">then </w:t>
      </w:r>
      <w:r>
        <w:t xml:space="preserve">introduce the three </w:t>
      </w:r>
      <w:r w:rsidR="0058799C">
        <w:t xml:space="preserve">core </w:t>
      </w:r>
      <w:r>
        <w:t xml:space="preserve">actors in select committees: parliamentarians, clerks and parliamentary lawyers, and their </w:t>
      </w:r>
      <w:r w:rsidR="00F33755">
        <w:t>respective</w:t>
      </w:r>
      <w:r w:rsidR="00FC5D1D">
        <w:t>,</w:t>
      </w:r>
      <w:r w:rsidR="00F33755">
        <w:t xml:space="preserve"> </w:t>
      </w:r>
      <w:r>
        <w:t xml:space="preserve">self-perceived </w:t>
      </w:r>
      <w:r w:rsidRPr="0000641A">
        <w:t>roles</w:t>
      </w:r>
      <w:r w:rsidR="0000641A">
        <w:t>—particular way</w:t>
      </w:r>
      <w:r w:rsidR="000D2C9A">
        <w:t>s</w:t>
      </w:r>
      <w:r w:rsidR="0000641A">
        <w:t xml:space="preserve"> of behaving within the select committee context</w:t>
      </w:r>
      <w:r w:rsidR="000D2C9A">
        <w:t>,</w:t>
      </w:r>
      <w:r>
        <w:t xml:space="preserve"> </w:t>
      </w:r>
      <w:r w:rsidR="00FC5D1D">
        <w:t xml:space="preserve">and </w:t>
      </w:r>
      <w:r w:rsidR="000D2C9A">
        <w:t xml:space="preserve">which </w:t>
      </w:r>
      <w:r w:rsidR="0022206F">
        <w:t xml:space="preserve">encompass </w:t>
      </w:r>
      <w:r w:rsidR="00FC5D1D">
        <w:t>particular responsibilities or duties.</w:t>
      </w:r>
      <w:r w:rsidR="000D2C9A">
        <w:rPr>
          <w:rStyle w:val="FootnoteReference"/>
        </w:rPr>
        <w:footnoteReference w:id="28"/>
      </w:r>
      <w:r w:rsidR="000D2C9A">
        <w:t xml:space="preserve"> </w:t>
      </w:r>
      <w:r w:rsidR="00FC5D1D">
        <w:t xml:space="preserve"> </w:t>
      </w:r>
      <w:r>
        <w:t xml:space="preserve">These </w:t>
      </w:r>
      <w:r w:rsidR="00F33755">
        <w:t>roles</w:t>
      </w:r>
      <w:r>
        <w:t xml:space="preserve"> are ideal: no actual actor conforms exactly to </w:t>
      </w:r>
      <w:r w:rsidR="00FC5D1D">
        <w:t>type</w:t>
      </w:r>
      <w:r>
        <w:t>.</w:t>
      </w:r>
    </w:p>
    <w:p w14:paraId="17937E87" w14:textId="77777777" w:rsidR="0000641A" w:rsidRDefault="0000641A" w:rsidP="007D2B8A">
      <w:pPr>
        <w:pStyle w:val="NoSpacing"/>
      </w:pPr>
    </w:p>
    <w:p w14:paraId="66B6DD1C" w14:textId="0CBC887E" w:rsidR="00561809" w:rsidRPr="00691195" w:rsidRDefault="007D2B8A" w:rsidP="007D2B8A">
      <w:pPr>
        <w:pStyle w:val="NoSpacing"/>
        <w:rPr>
          <w:i/>
        </w:rPr>
      </w:pPr>
      <w:r>
        <w:rPr>
          <w:i/>
        </w:rPr>
        <w:t xml:space="preserve">1. </w:t>
      </w:r>
      <w:r w:rsidR="00561809" w:rsidRPr="00691195">
        <w:rPr>
          <w:i/>
        </w:rPr>
        <w:t>The institutional framework</w:t>
      </w:r>
    </w:p>
    <w:p w14:paraId="5C9C13A1" w14:textId="77777777" w:rsidR="00A95B93" w:rsidRDefault="00A95B93" w:rsidP="00691195">
      <w:pPr>
        <w:pStyle w:val="NoSpacing"/>
        <w:jc w:val="both"/>
      </w:pPr>
    </w:p>
    <w:p w14:paraId="104D72D6" w14:textId="53B50DB9" w:rsidR="00561809" w:rsidRDefault="00561809" w:rsidP="00691195">
      <w:pPr>
        <w:pStyle w:val="NoSpacing"/>
        <w:jc w:val="both"/>
      </w:pPr>
      <w:r>
        <w:t>Select committees are cross-party parliamentary bodies, which primarily scrutinise executive action</w:t>
      </w:r>
      <w:r w:rsidR="00EF47EB">
        <w:t xml:space="preserve"> and sometimes legislation</w:t>
      </w:r>
      <w:r>
        <w:t xml:space="preserve">. </w:t>
      </w:r>
      <w:r w:rsidR="002D5E7B">
        <w:t>They</w:t>
      </w:r>
      <w:r w:rsidR="002D5E7B" w:rsidRPr="002D5E7B">
        <w:t xml:space="preserve"> are semi-autonomous in nature, not dependent from a central authority in Parliament, and so there are very few ‘binding’ rules on what they can do.</w:t>
      </w:r>
      <w:r>
        <w:t xml:space="preserve"> Each committee usually has 11 backbench parliamentarians, including a chair. Committee composition reflects party balance in the particular House; </w:t>
      </w:r>
      <w:r w:rsidR="00C4597F">
        <w:t xml:space="preserve">with </w:t>
      </w:r>
      <w:r>
        <w:t xml:space="preserve">committee chairs </w:t>
      </w:r>
      <w:r w:rsidR="00C4597F">
        <w:t xml:space="preserve">being </w:t>
      </w:r>
      <w:r>
        <w:t xml:space="preserve">mostly allocated along similar lines. </w:t>
      </w:r>
      <w:r w:rsidR="002D5E7B" w:rsidRPr="002D5E7B">
        <w:t>Members and most select committee chairs are now elected in the Commons, but still allocated by ‘the usual channels’ (party leaders, convenors and whips) in the Lords.</w:t>
      </w:r>
    </w:p>
    <w:p w14:paraId="063B324B" w14:textId="77777777" w:rsidR="00561809" w:rsidRDefault="00561809" w:rsidP="00691195">
      <w:pPr>
        <w:pStyle w:val="NoSpacing"/>
        <w:jc w:val="both"/>
      </w:pPr>
    </w:p>
    <w:p w14:paraId="280523B7" w14:textId="0273B31E" w:rsidR="00561809" w:rsidRDefault="00561809" w:rsidP="00691195">
      <w:pPr>
        <w:pStyle w:val="NoSpacing"/>
        <w:jc w:val="both"/>
      </w:pPr>
      <w:r>
        <w:t>Select committees are supported by a secretariat</w:t>
      </w:r>
      <w:r w:rsidR="0015698D">
        <w:t>, consisting</w:t>
      </w:r>
      <w:r>
        <w:t xml:space="preserve"> of impartial ‘permanent’ officials who support the legislature. They are permanent in the sense that they do not leave following a general election; and impartial in that they are appointed on apolitical criteria and must support all parliamentarians, regardless of political disposition.</w:t>
      </w:r>
      <w:r>
        <w:rPr>
          <w:rStyle w:val="FootnoteReference"/>
        </w:rPr>
        <w:footnoteReference w:id="29"/>
      </w:r>
      <w:r>
        <w:t xml:space="preserve"> Broadly speaking, Commons committee secretariats are larger, with a clerk, supported by a second clerk, often with a number of committee specialists, assistants, and media officers. In the Lords, there is usually a clerk, a policy analyst and a committee assistant. Committees with a legal remit will also have a parliamentary lawyer or lawyers permanently attached. For instance, the Joint Committee on Statutory Instruments (JCSI) has seven</w:t>
      </w:r>
      <w:r w:rsidRPr="006129E7">
        <w:t xml:space="preserve"> </w:t>
      </w:r>
      <w:r>
        <w:t>parliamentary lawyers</w:t>
      </w:r>
      <w:r w:rsidR="002C0FAD">
        <w:t xml:space="preserve"> (although some work part-time)</w:t>
      </w:r>
      <w:r>
        <w:t>; the Joint Committee on Human Rights (JCHR) two</w:t>
      </w:r>
      <w:r w:rsidR="0015698D">
        <w:t>,</w:t>
      </w:r>
      <w:r>
        <w:t xml:space="preserve"> and the Justice Committee one. </w:t>
      </w:r>
    </w:p>
    <w:p w14:paraId="6837ED5C" w14:textId="77777777" w:rsidR="00561809" w:rsidRDefault="00561809" w:rsidP="00691195">
      <w:pPr>
        <w:pStyle w:val="NoSpacing"/>
        <w:jc w:val="both"/>
      </w:pPr>
    </w:p>
    <w:p w14:paraId="01448304" w14:textId="7018A45B" w:rsidR="00561809" w:rsidRDefault="00561809" w:rsidP="00691195">
      <w:pPr>
        <w:pStyle w:val="NoSpacing"/>
        <w:jc w:val="both"/>
      </w:pPr>
      <w:r>
        <w:t>Committees</w:t>
      </w:r>
      <w:r w:rsidRPr="00B05504">
        <w:t xml:space="preserve"> </w:t>
      </w:r>
      <w:r>
        <w:t xml:space="preserve">scrutinise by inquiring into particular policy areas, taking evidence from a variety of stakeholders, and publishing reports with recommendations. </w:t>
      </w:r>
      <w:r w:rsidRPr="003C3623">
        <w:t xml:space="preserve">The aim of this </w:t>
      </w:r>
      <w:r w:rsidRPr="003C3623">
        <w:lastRenderedPageBreak/>
        <w:t xml:space="preserve">scrutiny is to </w:t>
      </w:r>
      <w:r w:rsidRPr="00095915">
        <w:rPr>
          <w:i/>
        </w:rPr>
        <w:t>influence</w:t>
      </w:r>
      <w:r w:rsidRPr="003C3623">
        <w:t xml:space="preserve"> different actors: Parliament, the government and the wider public. </w:t>
      </w:r>
      <w:r>
        <w:rPr>
          <w:rFonts w:cstheme="minorHAnsi"/>
        </w:rPr>
        <w:t>Select</w:t>
      </w:r>
      <w:r w:rsidRPr="003C3623">
        <w:rPr>
          <w:rFonts w:cstheme="minorHAnsi"/>
        </w:rPr>
        <w:t xml:space="preserve"> committees </w:t>
      </w:r>
      <w:r>
        <w:rPr>
          <w:rFonts w:cstheme="minorHAnsi"/>
        </w:rPr>
        <w:t xml:space="preserve">cannot force change: </w:t>
      </w:r>
      <w:r w:rsidRPr="003C3623">
        <w:rPr>
          <w:rFonts w:cstheme="minorHAnsi"/>
        </w:rPr>
        <w:t xml:space="preserve">their effectiveness </w:t>
      </w:r>
      <w:r>
        <w:rPr>
          <w:rFonts w:cstheme="minorHAnsi"/>
        </w:rPr>
        <w:t>is</w:t>
      </w:r>
      <w:r w:rsidRPr="003C3623">
        <w:rPr>
          <w:rFonts w:cstheme="minorHAnsi"/>
        </w:rPr>
        <w:t xml:space="preserve"> ‘measured in terms of the influence which committees exercise, both with individual members of each House and</w:t>
      </w:r>
      <w:r>
        <w:rPr>
          <w:rFonts w:cstheme="minorHAnsi"/>
        </w:rPr>
        <w:t xml:space="preserve"> …</w:t>
      </w:r>
      <w:r w:rsidRPr="003C3623">
        <w:rPr>
          <w:rFonts w:cstheme="minorHAnsi"/>
        </w:rPr>
        <w:t xml:space="preserve"> with departments’.</w:t>
      </w:r>
      <w:r w:rsidRPr="003C3623">
        <w:rPr>
          <w:rStyle w:val="FootnoteReference"/>
          <w:rFonts w:cstheme="minorHAnsi"/>
        </w:rPr>
        <w:footnoteReference w:id="30"/>
      </w:r>
      <w:r w:rsidRPr="003C3623">
        <w:rPr>
          <w:rFonts w:cstheme="minorHAnsi"/>
        </w:rPr>
        <w:t xml:space="preserve"> </w:t>
      </w:r>
      <w:r w:rsidR="004C43D5">
        <w:t>C</w:t>
      </w:r>
      <w:r>
        <w:t>ommittees, and in particular their chairs,</w:t>
      </w:r>
      <w:r w:rsidRPr="003C3623">
        <w:t xml:space="preserve"> </w:t>
      </w:r>
      <w:r>
        <w:t>must</w:t>
      </w:r>
      <w:r w:rsidRPr="003C3623">
        <w:t xml:space="preserve"> </w:t>
      </w:r>
      <w:r>
        <w:t xml:space="preserve">therefore </w:t>
      </w:r>
      <w:r w:rsidRPr="003C3623">
        <w:t xml:space="preserve">consider how </w:t>
      </w:r>
      <w:r>
        <w:t>to</w:t>
      </w:r>
      <w:r w:rsidRPr="003C3623">
        <w:t xml:space="preserve"> maximise their influence. </w:t>
      </w:r>
      <w:r>
        <w:t xml:space="preserve">There are </w:t>
      </w:r>
      <w:r w:rsidRPr="003C3623">
        <w:t xml:space="preserve">a range of </w:t>
      </w:r>
      <w:r>
        <w:t>factors</w:t>
      </w:r>
      <w:r w:rsidRPr="003C3623">
        <w:t xml:space="preserve"> affect</w:t>
      </w:r>
      <w:r>
        <w:t>ing</w:t>
      </w:r>
      <w:r w:rsidRPr="003C3623">
        <w:t xml:space="preserve"> the </w:t>
      </w:r>
      <w:r w:rsidR="009E3ADC">
        <w:t>impact</w:t>
      </w:r>
      <w:r w:rsidRPr="003C3623">
        <w:t xml:space="preserve"> of a committee report</w:t>
      </w:r>
      <w:r>
        <w:t xml:space="preserve">, which </w:t>
      </w:r>
      <w:r w:rsidR="00A95ED7">
        <w:t xml:space="preserve">both academics and </w:t>
      </w:r>
      <w:r w:rsidR="002F7063">
        <w:t>interviewees agreed</w:t>
      </w:r>
      <w:r>
        <w:t xml:space="preserve"> upon</w:t>
      </w:r>
      <w:r w:rsidRPr="003C3623">
        <w:t xml:space="preserve">: the quality of its arguments, the strength of its evidential basis, </w:t>
      </w:r>
      <w:r>
        <w:t xml:space="preserve">committee </w:t>
      </w:r>
      <w:r w:rsidRPr="003C3623">
        <w:t xml:space="preserve">unanimity, the </w:t>
      </w:r>
      <w:r>
        <w:t>reputation</w:t>
      </w:r>
      <w:r w:rsidRPr="003C3623">
        <w:t xml:space="preserve"> of the committee and its members across the House, and the committee’s media profile.</w:t>
      </w:r>
      <w:r w:rsidRPr="003C3623">
        <w:rPr>
          <w:rStyle w:val="FootnoteReference"/>
          <w:rFonts w:cstheme="minorHAnsi"/>
        </w:rPr>
        <w:footnoteReference w:id="31"/>
      </w:r>
      <w:r>
        <w:t xml:space="preserve"> These considerations are interconnected, but of them</w:t>
      </w:r>
      <w:r w:rsidR="00CC5520">
        <w:t>,</w:t>
      </w:r>
      <w:r>
        <w:t xml:space="preserve"> </w:t>
      </w:r>
      <w:r w:rsidR="00FA05F5">
        <w:t xml:space="preserve">interviewees emphasised </w:t>
      </w:r>
      <w:r>
        <w:t xml:space="preserve">committee </w:t>
      </w:r>
      <w:r w:rsidRPr="003C3623">
        <w:t>unanimity</w:t>
      </w:r>
      <w:r>
        <w:t xml:space="preserve"> and reputation </w:t>
      </w:r>
      <w:r w:rsidR="006560D8">
        <w:t>as the</w:t>
      </w:r>
      <w:r>
        <w:t xml:space="preserve"> most important</w:t>
      </w:r>
      <w:r w:rsidR="009E3ADC">
        <w:t xml:space="preserve"> in ensuring the influence of a report</w:t>
      </w:r>
      <w:r>
        <w:t>.</w:t>
      </w:r>
      <w:r w:rsidR="005B2B2C">
        <w:t xml:space="preserve"> </w:t>
      </w:r>
    </w:p>
    <w:p w14:paraId="60419FB5" w14:textId="77777777" w:rsidR="00886CA2" w:rsidRDefault="00886CA2" w:rsidP="00A95B93">
      <w:pPr>
        <w:pStyle w:val="NoSpacing"/>
        <w:jc w:val="center"/>
      </w:pPr>
    </w:p>
    <w:p w14:paraId="39E006D9" w14:textId="37CD03FE" w:rsidR="00561809" w:rsidRPr="002F556B" w:rsidRDefault="007D2B8A" w:rsidP="007D2B8A">
      <w:pPr>
        <w:pStyle w:val="NoSpacing"/>
      </w:pPr>
      <w:r>
        <w:rPr>
          <w:i/>
        </w:rPr>
        <w:t xml:space="preserve">2. </w:t>
      </w:r>
      <w:r w:rsidR="00F45B96">
        <w:rPr>
          <w:i/>
        </w:rPr>
        <w:t>The Tacticians:</w:t>
      </w:r>
      <w:r w:rsidR="00F45B96" w:rsidRPr="00F45B96">
        <w:rPr>
          <w:i/>
        </w:rPr>
        <w:t xml:space="preserve"> </w:t>
      </w:r>
      <w:r w:rsidR="00F45B96">
        <w:rPr>
          <w:i/>
        </w:rPr>
        <w:t>Parliamentarians</w:t>
      </w:r>
    </w:p>
    <w:p w14:paraId="6AA9DDE1" w14:textId="77777777" w:rsidR="00A95B93" w:rsidRDefault="00A95B93" w:rsidP="00A93A35">
      <w:pPr>
        <w:pStyle w:val="NoSpacing"/>
        <w:jc w:val="both"/>
      </w:pPr>
    </w:p>
    <w:p w14:paraId="4D9D50BE" w14:textId="15362C11" w:rsidR="00A93A35" w:rsidRPr="00F56ABC" w:rsidRDefault="0006085F" w:rsidP="00A93A35">
      <w:pPr>
        <w:pStyle w:val="NoSpacing"/>
        <w:jc w:val="both"/>
      </w:pPr>
      <w:r>
        <w:t>T</w:t>
      </w:r>
      <w:r w:rsidR="00561809">
        <w:t xml:space="preserve">he </w:t>
      </w:r>
      <w:r w:rsidR="00F421E0">
        <w:t>work and objectives</w:t>
      </w:r>
      <w:r w:rsidR="00561809">
        <w:t xml:space="preserve"> of committees </w:t>
      </w:r>
      <w:r w:rsidR="00F421E0">
        <w:t>are driven</w:t>
      </w:r>
      <w:r w:rsidR="00532EC7">
        <w:t xml:space="preserve"> primarily</w:t>
      </w:r>
      <w:r>
        <w:t xml:space="preserve"> </w:t>
      </w:r>
      <w:r w:rsidR="00FC5D1D">
        <w:t xml:space="preserve">from </w:t>
      </w:r>
      <w:r w:rsidR="00561809">
        <w:t xml:space="preserve">the </w:t>
      </w:r>
      <w:r w:rsidR="007D0A2F">
        <w:t xml:space="preserve">perceived </w:t>
      </w:r>
      <w:r w:rsidR="000D2C9A">
        <w:t>roles</w:t>
      </w:r>
      <w:r w:rsidR="00561809">
        <w:t xml:space="preserve"> </w:t>
      </w:r>
      <w:r w:rsidR="00143BC1">
        <w:t xml:space="preserve">and goals </w:t>
      </w:r>
      <w:r w:rsidR="00561809">
        <w:t>of parliament</w:t>
      </w:r>
      <w:r w:rsidR="00F421E0">
        <w:t>arians</w:t>
      </w:r>
      <w:r w:rsidR="00561809">
        <w:t xml:space="preserve">. </w:t>
      </w:r>
      <w:r w:rsidR="007728F5">
        <w:t>Parliamentarians</w:t>
      </w:r>
      <w:r w:rsidR="00A93A35">
        <w:t xml:space="preserve"> were acknowledged by all interviewees as the actors whose goals should be given most deference. As Crewe argues</w:t>
      </w:r>
      <w:r w:rsidR="000D2C9A">
        <w:t>,</w:t>
      </w:r>
      <w:r w:rsidR="00A93A35">
        <w:t xml:space="preserve"> </w:t>
      </w:r>
    </w:p>
    <w:p w14:paraId="272F76A5" w14:textId="77777777" w:rsidR="00A93A35" w:rsidRDefault="00A93A35" w:rsidP="00A93A35">
      <w:pPr>
        <w:pStyle w:val="NoSpacing"/>
        <w:jc w:val="both"/>
      </w:pPr>
    </w:p>
    <w:p w14:paraId="62E767D0" w14:textId="77777777" w:rsidR="00A93A35" w:rsidRPr="00BE36D6" w:rsidRDefault="00A93A35" w:rsidP="00A93A35">
      <w:pPr>
        <w:pStyle w:val="NoSpacing"/>
        <w:ind w:left="720"/>
        <w:jc w:val="both"/>
      </w:pPr>
      <w:r>
        <w:t>‘</w:t>
      </w:r>
      <w:r w:rsidRPr="00BE36D6">
        <w:t>An essential element of the clerkly culture in the Commons is the recognition, forcefully socialised in new recruits, that ‘election’ confers a power and authority that mere appointment can never confer. Elected Members are … fundamentally different beings.</w:t>
      </w:r>
      <w:r>
        <w:t>’</w:t>
      </w:r>
      <w:r>
        <w:rPr>
          <w:rStyle w:val="FootnoteReference"/>
        </w:rPr>
        <w:footnoteReference w:id="32"/>
      </w:r>
      <w:r w:rsidRPr="00BE36D6">
        <w:t xml:space="preserve"> </w:t>
      </w:r>
    </w:p>
    <w:p w14:paraId="62868887" w14:textId="77777777" w:rsidR="00A93A35" w:rsidRDefault="00A93A35" w:rsidP="00A93A35">
      <w:pPr>
        <w:pStyle w:val="NoSpacing"/>
        <w:jc w:val="both"/>
      </w:pPr>
    </w:p>
    <w:p w14:paraId="5E308772" w14:textId="01AA69F9" w:rsidR="00A93A35" w:rsidRDefault="00A93A35" w:rsidP="00A93A35">
      <w:pPr>
        <w:pStyle w:val="NoSpacing"/>
        <w:jc w:val="both"/>
      </w:pPr>
      <w:r>
        <w:t xml:space="preserve">Peers lack elected legitimacy, but are deferred to because they fulfil other modes of representation—in particular, they are able to voice views not heard in the Commons, and often have expertise </w:t>
      </w:r>
      <w:r w:rsidR="004C43D5">
        <w:t>that</w:t>
      </w:r>
      <w:r>
        <w:t xml:space="preserve"> elected members</w:t>
      </w:r>
      <w:r w:rsidR="004C43D5">
        <w:t xml:space="preserve"> lack</w:t>
      </w:r>
      <w:r>
        <w:t>.</w:t>
      </w:r>
      <w:r>
        <w:rPr>
          <w:rStyle w:val="FootnoteReference"/>
        </w:rPr>
        <w:footnoteReference w:id="33"/>
      </w:r>
    </w:p>
    <w:p w14:paraId="76B66067" w14:textId="77777777" w:rsidR="00A93A35" w:rsidRDefault="00A93A35" w:rsidP="00691195">
      <w:pPr>
        <w:pStyle w:val="NoSpacing"/>
        <w:jc w:val="both"/>
      </w:pPr>
    </w:p>
    <w:p w14:paraId="62738FD1" w14:textId="46475033" w:rsidR="00561809" w:rsidRPr="008465DB" w:rsidRDefault="00561809" w:rsidP="00691195">
      <w:pPr>
        <w:pStyle w:val="NoSpacing"/>
        <w:jc w:val="both"/>
      </w:pPr>
      <w:r>
        <w:t>MPs usually belong to a political party</w:t>
      </w:r>
      <w:r w:rsidR="004C43D5">
        <w:t>,</w:t>
      </w:r>
      <w:r>
        <w:t xml:space="preserve"> and they </w:t>
      </w:r>
      <w:r w:rsidR="0006085F">
        <w:t>tend to be</w:t>
      </w:r>
      <w:r>
        <w:t xml:space="preserve"> amateurs </w:t>
      </w:r>
      <w:r w:rsidR="0006085F">
        <w:t xml:space="preserve">rather than </w:t>
      </w:r>
      <w:r>
        <w:t>experts. Within the framework of committees, parliamentarians have a number of key goals: re-election</w:t>
      </w:r>
      <w:r w:rsidR="0006085F">
        <w:t xml:space="preserve">, </w:t>
      </w:r>
      <w:r>
        <w:t>the promotion of party objectives</w:t>
      </w:r>
      <w:r w:rsidR="0006085F">
        <w:t xml:space="preserve">, </w:t>
      </w:r>
      <w:r>
        <w:t>influence within and outside the House</w:t>
      </w:r>
      <w:r w:rsidR="0006085F">
        <w:t xml:space="preserve">, </w:t>
      </w:r>
      <w:r>
        <w:t>and the production of good public policy.</w:t>
      </w:r>
      <w:r>
        <w:rPr>
          <w:rStyle w:val="FootnoteReference"/>
        </w:rPr>
        <w:footnoteReference w:id="34"/>
      </w:r>
      <w:r>
        <w:t xml:space="preserve"> Lords </w:t>
      </w:r>
      <w:r w:rsidR="00692E6B">
        <w:t>share similar goals to MPs (</w:t>
      </w:r>
      <w:r w:rsidR="004C43D5">
        <w:t>except</w:t>
      </w:r>
      <w:r w:rsidR="00692E6B">
        <w:t xml:space="preserve"> re-election), but </w:t>
      </w:r>
      <w:r>
        <w:t>differ slightly</w:t>
      </w:r>
      <w:r w:rsidR="00692E6B">
        <w:t xml:space="preserve"> in nature</w:t>
      </w:r>
      <w:r>
        <w:t xml:space="preserve">: most belong to a political </w:t>
      </w:r>
      <w:r w:rsidR="00692E6B">
        <w:t>group</w:t>
      </w:r>
      <w:r>
        <w:t xml:space="preserve">, but </w:t>
      </w:r>
      <w:r w:rsidR="00692E6B">
        <w:t xml:space="preserve">many </w:t>
      </w:r>
      <w:r w:rsidR="004C43D5">
        <w:t>are</w:t>
      </w:r>
      <w:r>
        <w:t xml:space="preserve"> non-aligned</w:t>
      </w:r>
      <w:r w:rsidR="00692E6B">
        <w:t xml:space="preserve">, </w:t>
      </w:r>
      <w:r w:rsidR="00BC3C0C">
        <w:t xml:space="preserve">and </w:t>
      </w:r>
      <w:r w:rsidR="00692E6B">
        <w:t xml:space="preserve">many being </w:t>
      </w:r>
      <w:r>
        <w:t>experts</w:t>
      </w:r>
      <w:r w:rsidR="00692E6B">
        <w:t xml:space="preserve"> in their field</w:t>
      </w:r>
      <w:r>
        <w:t xml:space="preserve">. </w:t>
      </w:r>
    </w:p>
    <w:p w14:paraId="06612EBA" w14:textId="77777777" w:rsidR="00561809" w:rsidRDefault="00561809" w:rsidP="00691195">
      <w:pPr>
        <w:pStyle w:val="NoSpacing"/>
        <w:jc w:val="both"/>
      </w:pPr>
    </w:p>
    <w:p w14:paraId="2026B09F" w14:textId="53FA7738" w:rsidR="00561809" w:rsidRDefault="00561809" w:rsidP="00691195">
      <w:pPr>
        <w:pStyle w:val="NoSpacing"/>
        <w:jc w:val="both"/>
      </w:pPr>
      <w:r>
        <w:t xml:space="preserve">The priority given to each goal differs </w:t>
      </w:r>
      <w:r w:rsidR="00CC5520">
        <w:t>with each</w:t>
      </w:r>
      <w:r>
        <w:t xml:space="preserve"> </w:t>
      </w:r>
      <w:r w:rsidR="00CC5520">
        <w:t>member</w:t>
      </w:r>
      <w:r>
        <w:t xml:space="preserve">, but </w:t>
      </w:r>
      <w:r w:rsidR="00F421E0">
        <w:t xml:space="preserve">within the select committee context, the </w:t>
      </w:r>
      <w:r w:rsidR="00801294">
        <w:t xml:space="preserve">broad </w:t>
      </w:r>
      <w:r w:rsidR="00F421E0">
        <w:t>role of parliamentarians</w:t>
      </w:r>
      <w:r w:rsidR="00801294">
        <w:t>, or way of behaving,</w:t>
      </w:r>
      <w:r w:rsidR="00F421E0">
        <w:t xml:space="preserve"> is </w:t>
      </w:r>
      <w:r w:rsidR="00F421E0" w:rsidRPr="00F421E0">
        <w:rPr>
          <w:i/>
        </w:rPr>
        <w:t>tactical</w:t>
      </w:r>
      <w:r w:rsidR="00F421E0">
        <w:t>. F</w:t>
      </w:r>
      <w:r w:rsidR="007728F5">
        <w:t xml:space="preserve">inding means to </w:t>
      </w:r>
      <w:r w:rsidR="00F421E0">
        <w:t>exert</w:t>
      </w:r>
      <w:r w:rsidR="007728F5">
        <w:t xml:space="preserve"> </w:t>
      </w:r>
      <w:r>
        <w:t xml:space="preserve">influence is </w:t>
      </w:r>
      <w:r w:rsidR="000B403B">
        <w:t>usually key</w:t>
      </w:r>
      <w:r>
        <w:t xml:space="preserve">: as former MP Nick </w:t>
      </w:r>
      <w:proofErr w:type="spellStart"/>
      <w:r>
        <w:t>DeBois</w:t>
      </w:r>
      <w:proofErr w:type="spellEnd"/>
      <w:r>
        <w:t xml:space="preserve"> suggests, ‘the only power you have as an MP is the power to influence.’</w:t>
      </w:r>
      <w:r>
        <w:rPr>
          <w:rStyle w:val="FootnoteReference"/>
        </w:rPr>
        <w:footnoteReference w:id="35"/>
      </w:r>
      <w:r>
        <w:t xml:space="preserve"> In</w:t>
      </w:r>
      <w:r w:rsidR="004F0677">
        <w:t xml:space="preserve"> committees, however, in</w:t>
      </w:r>
      <w:r>
        <w:t>fluen</w:t>
      </w:r>
      <w:r w:rsidR="004F0677">
        <w:t xml:space="preserve">ce must achieved within committees </w:t>
      </w:r>
      <w:r w:rsidR="00CC5520">
        <w:t>via</w:t>
      </w:r>
      <w:r w:rsidR="004F0677">
        <w:t xml:space="preserve"> agreement. This </w:t>
      </w:r>
      <w:r>
        <w:t xml:space="preserve">can be difficult, given that parliamentarians are, as a group, both fiercely partisan and highly </w:t>
      </w:r>
      <w:r w:rsidRPr="002E2BA0">
        <w:t>autonomous</w:t>
      </w:r>
      <w:r>
        <w:t xml:space="preserve">—particularly in the elected Commons. </w:t>
      </w:r>
      <w:r>
        <w:lastRenderedPageBreak/>
        <w:t>Kelso notes: ‘</w:t>
      </w:r>
      <w:r w:rsidRPr="00DE2639">
        <w:t>Select committee scrutiny of government, and its policies and decision making, can only be maximized if members operate mostly cons</w:t>
      </w:r>
      <w:r>
        <w:t>ensually for most of the time.’</w:t>
      </w:r>
      <w:r w:rsidRPr="00DE2639">
        <w:rPr>
          <w:rStyle w:val="FootnoteReference"/>
        </w:rPr>
        <w:t xml:space="preserve"> </w:t>
      </w:r>
      <w:r>
        <w:rPr>
          <w:rStyle w:val="FootnoteReference"/>
        </w:rPr>
        <w:footnoteReference w:id="36"/>
      </w:r>
      <w:r>
        <w:t xml:space="preserve"> Thus, </w:t>
      </w:r>
      <w:r w:rsidR="00A93A35">
        <w:t xml:space="preserve">committees </w:t>
      </w:r>
      <w:r w:rsidR="007D4524">
        <w:t xml:space="preserve">deliberate in private, </w:t>
      </w:r>
      <w:r w:rsidR="00A93A35">
        <w:t>spend</w:t>
      </w:r>
      <w:r w:rsidR="007D4524">
        <w:t>ing</w:t>
      </w:r>
      <w:r w:rsidR="00A93A35">
        <w:t xml:space="preserve"> </w:t>
      </w:r>
      <w:r w:rsidR="007D4524">
        <w:t xml:space="preserve">much time seeking consensus </w:t>
      </w:r>
      <w:r>
        <w:t xml:space="preserve">in order to ensure influence. </w:t>
      </w:r>
      <w:r w:rsidR="00F27C1A">
        <w:t>A</w:t>
      </w:r>
      <w:r>
        <w:t xml:space="preserve"> committee chair</w:t>
      </w:r>
      <w:r w:rsidR="00F27C1A">
        <w:t xml:space="preserve"> stated</w:t>
      </w:r>
      <w:r>
        <w:t xml:space="preserve">: </w:t>
      </w:r>
    </w:p>
    <w:p w14:paraId="07527A50" w14:textId="77777777" w:rsidR="00561809" w:rsidRDefault="00561809" w:rsidP="00691195">
      <w:pPr>
        <w:pStyle w:val="NoSpacing"/>
        <w:jc w:val="both"/>
      </w:pPr>
    </w:p>
    <w:p w14:paraId="022B0B89" w14:textId="77777777" w:rsidR="00561809" w:rsidRDefault="00561809" w:rsidP="00691195">
      <w:pPr>
        <w:pStyle w:val="NoSpacing"/>
        <w:ind w:left="720"/>
        <w:jc w:val="both"/>
      </w:pPr>
      <w:r>
        <w:t>‘[A report]</w:t>
      </w:r>
      <w:r w:rsidRPr="00D32B89">
        <w:t xml:space="preserve"> obviously always carries more weight if you can get it unanimous, so </w:t>
      </w:r>
      <w:r>
        <w:t>…</w:t>
      </w:r>
      <w:r w:rsidRPr="00D32B89">
        <w:t xml:space="preserve"> on one or two occasions, I've toned down what the o</w:t>
      </w:r>
      <w:r>
        <w:t xml:space="preserve">fficials have put in the draft … </w:t>
      </w:r>
      <w:r w:rsidRPr="00D32B89">
        <w:t xml:space="preserve">because </w:t>
      </w:r>
      <w:r>
        <w:t>…</w:t>
      </w:r>
      <w:r w:rsidRPr="00D32B89">
        <w:t xml:space="preserve"> some members of the committee I knew wouldn't wear it in that formulation, but we could get to a position in the middle.  </w:t>
      </w:r>
      <w:r>
        <w:t>…</w:t>
      </w:r>
      <w:r w:rsidRPr="00D32B89">
        <w:t xml:space="preserve"> </w:t>
      </w:r>
      <w:r>
        <w:t>[S]</w:t>
      </w:r>
      <w:proofErr w:type="spellStart"/>
      <w:r w:rsidRPr="00D32B89">
        <w:t>ometimes</w:t>
      </w:r>
      <w:proofErr w:type="spellEnd"/>
      <w:r w:rsidRPr="00D32B89">
        <w:t xml:space="preserve"> these reports are not an end, you know, they're important themselves, but they also trigger further discussion and debate</w:t>
      </w:r>
      <w:r>
        <w:t>…’</w:t>
      </w:r>
      <w:r>
        <w:rPr>
          <w:rStyle w:val="FootnoteReference"/>
        </w:rPr>
        <w:footnoteReference w:id="37"/>
      </w:r>
    </w:p>
    <w:p w14:paraId="1F7E6BA5" w14:textId="77777777" w:rsidR="00561809" w:rsidRDefault="00561809" w:rsidP="00691195">
      <w:pPr>
        <w:pStyle w:val="NoSpacing"/>
        <w:jc w:val="both"/>
      </w:pPr>
    </w:p>
    <w:p w14:paraId="2DB99CA9" w14:textId="37085477" w:rsidR="007728F5" w:rsidRDefault="00561809" w:rsidP="00691195">
      <w:pPr>
        <w:pStyle w:val="NoSpacing"/>
        <w:jc w:val="both"/>
      </w:pPr>
      <w:r>
        <w:t>In our interviews, parliamentarians asserted their autonomy to decide. This was for a variety of reasons: because of the need to seek consensus; because parliamentarians understood politics best;</w:t>
      </w:r>
      <w:r w:rsidRPr="0006279E">
        <w:t xml:space="preserve"> </w:t>
      </w:r>
      <w:r>
        <w:t>and because parliamentarians were the most legitimate actors within the committee, and therefore best able to exercise effective influence</w:t>
      </w:r>
      <w:r>
        <w:rPr>
          <w:rStyle w:val="CommentReference"/>
          <w:rFonts w:eastAsiaTheme="minorHAnsi"/>
          <w:lang w:eastAsia="en-US"/>
        </w:rPr>
        <w:t>:</w:t>
      </w:r>
      <w:r>
        <w:t xml:space="preserve"> </w:t>
      </w:r>
    </w:p>
    <w:p w14:paraId="4F087A37" w14:textId="77777777" w:rsidR="007728F5" w:rsidRDefault="007728F5" w:rsidP="00691195">
      <w:pPr>
        <w:pStyle w:val="NoSpacing"/>
        <w:jc w:val="both"/>
      </w:pPr>
    </w:p>
    <w:p w14:paraId="71061874" w14:textId="77DA6B69" w:rsidR="007728F5" w:rsidRDefault="00561809" w:rsidP="007728F5">
      <w:pPr>
        <w:pStyle w:val="NoSpacing"/>
        <w:ind w:left="720"/>
        <w:jc w:val="both"/>
      </w:pPr>
      <w:r>
        <w:t>‘</w:t>
      </w:r>
      <w:r w:rsidR="007728F5">
        <w:t>Y</w:t>
      </w:r>
      <w:r w:rsidRPr="007951B4">
        <w:t>ou cannot have a committee of House of Commons officials—or lawyers—telling the government ‘your laws are a load of bollocks’</w:t>
      </w:r>
      <w:r>
        <w:t xml:space="preserve"> … </w:t>
      </w:r>
      <w:r w:rsidRPr="007951B4">
        <w:t>It</w:t>
      </w:r>
      <w:r w:rsidR="007728F5">
        <w:t xml:space="preserve"> has to have the imprimatur of p</w:t>
      </w:r>
      <w:r w:rsidRPr="007951B4">
        <w:t>arliamentarian</w:t>
      </w:r>
      <w:r>
        <w:t>s.’</w:t>
      </w:r>
      <w:r>
        <w:rPr>
          <w:rStyle w:val="FootnoteReference"/>
        </w:rPr>
        <w:footnoteReference w:id="38"/>
      </w:r>
      <w:r>
        <w:t xml:space="preserve"> </w:t>
      </w:r>
    </w:p>
    <w:p w14:paraId="1E2D6856" w14:textId="77777777" w:rsidR="007728F5" w:rsidRDefault="007728F5" w:rsidP="00691195">
      <w:pPr>
        <w:pStyle w:val="NoSpacing"/>
        <w:jc w:val="both"/>
      </w:pPr>
    </w:p>
    <w:p w14:paraId="4FF4613F" w14:textId="11E520F1" w:rsidR="00561809" w:rsidRDefault="00561809" w:rsidP="00691195">
      <w:pPr>
        <w:pStyle w:val="NoSpacing"/>
        <w:jc w:val="both"/>
      </w:pPr>
      <w:r>
        <w:t>The corollary of this is that</w:t>
      </w:r>
      <w:r w:rsidRPr="00EC42C6">
        <w:t xml:space="preserve"> </w:t>
      </w:r>
      <w:r>
        <w:t>clerks and parliamentary lawyers are subordinate: ‘</w:t>
      </w:r>
      <w:r w:rsidRPr="00EB3B96">
        <w:t>Clerks</w:t>
      </w:r>
      <w:r w:rsidRPr="0006279E">
        <w:t xml:space="preserve"> are there to advise, w</w:t>
      </w:r>
      <w:r>
        <w:t>e decide.’</w:t>
      </w:r>
      <w:r>
        <w:rPr>
          <w:rStyle w:val="FootnoteReference"/>
        </w:rPr>
        <w:footnoteReference w:id="39"/>
      </w:r>
      <w:r>
        <w:t xml:space="preserve"> Parliamentary staff exist to support the work of parliamentarians—here, in the institutional form of committees. </w:t>
      </w:r>
    </w:p>
    <w:p w14:paraId="6D439297" w14:textId="77777777" w:rsidR="00561809" w:rsidRDefault="00561809" w:rsidP="00691195">
      <w:pPr>
        <w:pStyle w:val="NoSpacing"/>
        <w:jc w:val="both"/>
      </w:pPr>
    </w:p>
    <w:p w14:paraId="545B897D" w14:textId="797B95A4" w:rsidR="00561809" w:rsidRDefault="00825B60" w:rsidP="00691195">
      <w:pPr>
        <w:pStyle w:val="NoSpacing"/>
        <w:jc w:val="both"/>
      </w:pPr>
      <w:r>
        <w:t>Finally,</w:t>
      </w:r>
      <w:r w:rsidR="00561809" w:rsidRPr="009A34EB">
        <w:t xml:space="preserve"> of all our interviewees, parliamentarians were the least inclined to reflect on the medium or long-term </w:t>
      </w:r>
      <w:r w:rsidR="00E06EC9">
        <w:t>interests</w:t>
      </w:r>
      <w:r w:rsidR="00561809" w:rsidRPr="009A34EB">
        <w:t xml:space="preserve"> of Parliament</w:t>
      </w:r>
      <w:r w:rsidR="00E06EC9">
        <w:t xml:space="preserve"> as an institution</w:t>
      </w:r>
      <w:r w:rsidR="00561809" w:rsidRPr="009A34EB">
        <w:t xml:space="preserve">. They tended to focus instead on tactical matters, and the specific committee they sat on. </w:t>
      </w:r>
      <w:r w:rsidR="00CC5520" w:rsidRPr="009A34EB">
        <w:t xml:space="preserve">Parliamentarians rarely make claims on behalf of Parliament as an institutional </w:t>
      </w:r>
      <w:proofErr w:type="spellStart"/>
      <w:r w:rsidR="00CC5520" w:rsidRPr="009A34EB">
        <w:t>collectivity</w:t>
      </w:r>
      <w:proofErr w:type="spellEnd"/>
      <w:r w:rsidR="00CC5520" w:rsidRPr="009A34EB">
        <w:t>.</w:t>
      </w:r>
      <w:r w:rsidR="00CC5520" w:rsidRPr="009A34EB">
        <w:rPr>
          <w:rStyle w:val="FootnoteReference"/>
        </w:rPr>
        <w:footnoteReference w:id="40"/>
      </w:r>
      <w:r w:rsidR="00CC5520" w:rsidRPr="009A34EB">
        <w:t xml:space="preserve"> </w:t>
      </w:r>
      <w:r w:rsidR="00561809" w:rsidRPr="009A34EB">
        <w:t>Thus, one MP argued, ‘there is … this culture where the clerks are more loyal to their organisation than they are to the committee, and that is a prevalent culture, and that’s not very good.’</w:t>
      </w:r>
      <w:r w:rsidR="00561809" w:rsidRPr="009A34EB">
        <w:rPr>
          <w:rStyle w:val="FootnoteReference"/>
        </w:rPr>
        <w:footnoteReference w:id="41"/>
      </w:r>
      <w:r w:rsidR="00561809" w:rsidRPr="009A34EB">
        <w:t xml:space="preserve"> </w:t>
      </w:r>
    </w:p>
    <w:p w14:paraId="56B66A22" w14:textId="77777777" w:rsidR="00561809" w:rsidRDefault="00561809" w:rsidP="00691195">
      <w:pPr>
        <w:pStyle w:val="NoSpacing"/>
        <w:jc w:val="both"/>
        <w:rPr>
          <w:i/>
        </w:rPr>
      </w:pPr>
    </w:p>
    <w:p w14:paraId="2F127F82" w14:textId="4F1F0648" w:rsidR="00561809" w:rsidRPr="00520BA5" w:rsidRDefault="007D2B8A" w:rsidP="007D2B8A">
      <w:pPr>
        <w:pStyle w:val="NoSpacing"/>
      </w:pPr>
      <w:r>
        <w:rPr>
          <w:i/>
        </w:rPr>
        <w:t xml:space="preserve">3. </w:t>
      </w:r>
      <w:r w:rsidR="00F45B96">
        <w:rPr>
          <w:i/>
        </w:rPr>
        <w:t xml:space="preserve">The Stewards: </w:t>
      </w:r>
      <w:r w:rsidR="00561809">
        <w:rPr>
          <w:i/>
        </w:rPr>
        <w:t>Clerks</w:t>
      </w:r>
    </w:p>
    <w:p w14:paraId="11B1EB24" w14:textId="77777777" w:rsidR="00A95B93" w:rsidRDefault="00A95B93" w:rsidP="00691195">
      <w:pPr>
        <w:pStyle w:val="NoSpacing"/>
        <w:jc w:val="both"/>
      </w:pPr>
    </w:p>
    <w:p w14:paraId="73B259F1" w14:textId="547B7C1C" w:rsidR="00561809" w:rsidRDefault="00561809" w:rsidP="00691195">
      <w:pPr>
        <w:pStyle w:val="NoSpacing"/>
        <w:jc w:val="both"/>
      </w:pPr>
      <w:r>
        <w:t>Clerks have traditionally been a socially distinct group, a career cadre of impartial officials: the majority have spent most, if not all, of their working lives in Parliament.</w:t>
      </w:r>
      <w:r>
        <w:rPr>
          <w:rStyle w:val="FootnoteReference"/>
        </w:rPr>
        <w:footnoteReference w:id="42"/>
      </w:r>
      <w:r>
        <w:t xml:space="preserve"> They have a cohesive set of shared understandings about their roles, and </w:t>
      </w:r>
      <w:r w:rsidR="001B6975">
        <w:t>what</w:t>
      </w:r>
      <w:r>
        <w:t xml:space="preserve"> the other core actors</w:t>
      </w:r>
      <w:r w:rsidR="001B6975">
        <w:t xml:space="preserve"> should be doing</w:t>
      </w:r>
      <w:r>
        <w:t>—a ‘clerkly culture’.</w:t>
      </w:r>
      <w:r>
        <w:rPr>
          <w:rStyle w:val="FootnoteReference"/>
        </w:rPr>
        <w:footnoteReference w:id="43"/>
      </w:r>
      <w:r>
        <w:t xml:space="preserve"> They are trained as generalists rather than specialists, </w:t>
      </w:r>
      <w:r>
        <w:lastRenderedPageBreak/>
        <w:t xml:space="preserve">and have a broad set of </w:t>
      </w:r>
      <w:r w:rsidR="001B6975">
        <w:t>responsibilities</w:t>
      </w:r>
      <w:r>
        <w:t>: clerking for the chamber, managing committees, or the administration of Parli</w:t>
      </w:r>
      <w:r w:rsidR="001B6975">
        <w:t>ament. Here, we look only at managing committees</w:t>
      </w:r>
      <w:r>
        <w:t>.</w:t>
      </w:r>
    </w:p>
    <w:p w14:paraId="1C3169D7" w14:textId="77777777" w:rsidR="00561809" w:rsidRDefault="00561809" w:rsidP="00691195">
      <w:pPr>
        <w:pStyle w:val="NoSpacing"/>
        <w:jc w:val="both"/>
      </w:pPr>
    </w:p>
    <w:p w14:paraId="2EB6172D" w14:textId="5AB949D8" w:rsidR="00561809" w:rsidRDefault="00561809" w:rsidP="00691195">
      <w:pPr>
        <w:pStyle w:val="NoSpacing"/>
        <w:jc w:val="both"/>
      </w:pPr>
      <w:r w:rsidRPr="009A34EB">
        <w:t xml:space="preserve">Clerks </w:t>
      </w:r>
      <w:r>
        <w:t xml:space="preserve">see themselves as having a broad set of </w:t>
      </w:r>
      <w:r w:rsidR="007728F5">
        <w:t xml:space="preserve">official </w:t>
      </w:r>
      <w:r w:rsidRPr="007728F5">
        <w:t>responsibilities</w:t>
      </w:r>
      <w:r w:rsidRPr="009A34EB">
        <w:t xml:space="preserve"> in relation to select committees.</w:t>
      </w:r>
      <w:r w:rsidRPr="009A34EB">
        <w:rPr>
          <w:rStyle w:val="FootnoteReference"/>
        </w:rPr>
        <w:footnoteReference w:id="44"/>
      </w:r>
      <w:r w:rsidRPr="009A34EB">
        <w:t xml:space="preserve"> First, they have management responsibilities: they manage the activities of the committee, including line managing committee staff. Second, clerks advise committees as experts in parliamentary procedure. Third, they brief members on research and witness evidence, and assist them in assessing that evidence. </w:t>
      </w:r>
      <w:r>
        <w:t>Finally, c</w:t>
      </w:r>
      <w:r w:rsidRPr="009A34EB">
        <w:t>lerks offer to the committee a degree of political judgement on how to maximise the influence of its work. Perhaps in recognition of these responsibilities, the clerk always sits next to the committee chair</w:t>
      </w:r>
      <w:r w:rsidR="00CC5520" w:rsidRPr="00CC5520">
        <w:t xml:space="preserve"> </w:t>
      </w:r>
      <w:r w:rsidR="00CC5520" w:rsidRPr="009A34EB">
        <w:t>in meetings</w:t>
      </w:r>
      <w:r w:rsidRPr="009A34EB">
        <w:t>, their physical proximity reflecting the importance of the clerk to the committee.</w:t>
      </w:r>
      <w:r>
        <w:t xml:space="preserve"> </w:t>
      </w:r>
    </w:p>
    <w:p w14:paraId="1AA3EA6C" w14:textId="77777777" w:rsidR="00561809" w:rsidRDefault="00561809" w:rsidP="00691195">
      <w:pPr>
        <w:pStyle w:val="NoSpacing"/>
        <w:jc w:val="both"/>
      </w:pPr>
    </w:p>
    <w:p w14:paraId="1D64F93E" w14:textId="77777777" w:rsidR="00561809" w:rsidRDefault="00561809" w:rsidP="00691195">
      <w:pPr>
        <w:pStyle w:val="NoSpacing"/>
        <w:jc w:val="both"/>
      </w:pPr>
      <w:r>
        <w:t xml:space="preserve">Clerks ultimately see themselves as sharing responsibility for the </w:t>
      </w:r>
      <w:r w:rsidRPr="002567EF">
        <w:t>reputation of their committees</w:t>
      </w:r>
      <w:r>
        <w:t xml:space="preserve">. This means preventing committees from damaging their credibility through ill-informed conclusions and any other behaviour. As one clerk put it: </w:t>
      </w:r>
    </w:p>
    <w:p w14:paraId="45BA885B" w14:textId="77777777" w:rsidR="00561809" w:rsidRDefault="00561809" w:rsidP="00691195">
      <w:pPr>
        <w:pStyle w:val="NoSpacing"/>
        <w:jc w:val="both"/>
      </w:pPr>
    </w:p>
    <w:p w14:paraId="200DD3D1" w14:textId="77777777" w:rsidR="00561809" w:rsidRDefault="00561809" w:rsidP="00691195">
      <w:pPr>
        <w:pStyle w:val="NoSpacing"/>
        <w:ind w:left="720"/>
        <w:jc w:val="both"/>
      </w:pPr>
      <w:r>
        <w:t>‘</w:t>
      </w:r>
      <w:r w:rsidRPr="00517FE4">
        <w:t xml:space="preserve">You’ve got people making arguments to a committee, whether they are legal or any other arguments.  And your responsibility to the committee is to point them to the </w:t>
      </w:r>
      <w:r>
        <w:t>best range of advice, witnesses</w:t>
      </w:r>
      <w:r w:rsidRPr="00517FE4">
        <w:t xml:space="preserve"> </w:t>
      </w:r>
      <w:r>
        <w:t>…</w:t>
      </w:r>
      <w:r w:rsidRPr="00517FE4">
        <w:t xml:space="preserve"> to do your best to help them not reach patently unfounded or absurd conclusions</w:t>
      </w:r>
      <w:r>
        <w:t>.’</w:t>
      </w:r>
      <w:r>
        <w:rPr>
          <w:rStyle w:val="FootnoteReference"/>
        </w:rPr>
        <w:footnoteReference w:id="45"/>
      </w:r>
      <w:r>
        <w:t xml:space="preserve"> </w:t>
      </w:r>
    </w:p>
    <w:p w14:paraId="4D83BAB6" w14:textId="77777777" w:rsidR="00561809" w:rsidRDefault="00561809" w:rsidP="00691195">
      <w:pPr>
        <w:pStyle w:val="NoSpacing"/>
        <w:jc w:val="both"/>
      </w:pPr>
    </w:p>
    <w:p w14:paraId="519EC463" w14:textId="3269ACBA" w:rsidR="00561809" w:rsidRPr="009571C4" w:rsidRDefault="00561809" w:rsidP="00691195">
      <w:pPr>
        <w:pStyle w:val="NoSpacing"/>
        <w:jc w:val="both"/>
      </w:pPr>
      <w:r>
        <w:t xml:space="preserve">Management of the committee and protection of its reputation are committee-specific responsibilities. But clerks also see themselves as having a set of </w:t>
      </w:r>
      <w:r w:rsidR="001B6975">
        <w:t xml:space="preserve">long term, </w:t>
      </w:r>
      <w:r>
        <w:t>institution-wide</w:t>
      </w:r>
      <w:r w:rsidR="001B6975">
        <w:t xml:space="preserve"> responsibilities as well</w:t>
      </w:r>
      <w:r w:rsidR="00CC5520">
        <w:t xml:space="preserve">: </w:t>
      </w:r>
      <w:r w:rsidR="001B6975">
        <w:t xml:space="preserve">a </w:t>
      </w:r>
      <w:r w:rsidR="001B6975" w:rsidRPr="001B6975">
        <w:rPr>
          <w:i/>
        </w:rPr>
        <w:t>stewardship</w:t>
      </w:r>
      <w:r w:rsidR="001B6975">
        <w:t xml:space="preserve"> role</w:t>
      </w:r>
      <w:r>
        <w:t xml:space="preserve">. Crewe notes: </w:t>
      </w:r>
    </w:p>
    <w:p w14:paraId="52E0F5DC" w14:textId="77777777" w:rsidR="00561809" w:rsidRPr="00BE36D6" w:rsidRDefault="00561809" w:rsidP="00691195">
      <w:pPr>
        <w:pStyle w:val="NoSpacing"/>
        <w:jc w:val="both"/>
      </w:pPr>
    </w:p>
    <w:p w14:paraId="1B44E858" w14:textId="77777777" w:rsidR="00561809" w:rsidRPr="00524ED3" w:rsidRDefault="00561809" w:rsidP="00691195">
      <w:pPr>
        <w:pStyle w:val="NoSpacing"/>
        <w:ind w:left="720"/>
        <w:jc w:val="both"/>
      </w:pPr>
      <w:r>
        <w:t>‘</w:t>
      </w:r>
      <w:r w:rsidRPr="00524ED3">
        <w:t>While Members are under huge pressure to respond to the everyday pressures from the media, their parties and their constituencies, Clerks take the longer view, coaxing committees towards greater effectiveness in seeing the bigger picture, or at le</w:t>
      </w:r>
      <w:r>
        <w:t>ast seeing it from many angles.’</w:t>
      </w:r>
      <w:r w:rsidRPr="00524ED3">
        <w:t xml:space="preserve"> </w:t>
      </w:r>
      <w:r>
        <w:rPr>
          <w:rStyle w:val="FootnoteReference"/>
        </w:rPr>
        <w:footnoteReference w:id="46"/>
      </w:r>
    </w:p>
    <w:p w14:paraId="3D922F44" w14:textId="77777777" w:rsidR="00561809" w:rsidRDefault="00561809" w:rsidP="00691195">
      <w:pPr>
        <w:pStyle w:val="NoSpacing"/>
        <w:jc w:val="both"/>
      </w:pPr>
    </w:p>
    <w:p w14:paraId="2C2C1F7E" w14:textId="0838BA96" w:rsidR="00561809" w:rsidRDefault="00494772" w:rsidP="00691195">
      <w:pPr>
        <w:pStyle w:val="NoSpacing"/>
        <w:jc w:val="both"/>
      </w:pPr>
      <w:r w:rsidRPr="007728F5">
        <w:t xml:space="preserve">In this respect, they </w:t>
      </w:r>
      <w:r w:rsidR="00561809" w:rsidRPr="007728F5">
        <w:t>are pa</w:t>
      </w:r>
      <w:r w:rsidRPr="007728F5">
        <w:t>rticularly concerned to protect</w:t>
      </w:r>
      <w:r w:rsidR="00561809" w:rsidRPr="007728F5">
        <w:t xml:space="preserve"> the impartiality of parliamentary staff</w:t>
      </w:r>
      <w:r w:rsidR="00DC1057">
        <w:t>,</w:t>
      </w:r>
      <w:r w:rsidR="00561809" w:rsidRPr="007728F5">
        <w:t xml:space="preserve"> and the autonomy of Parliament.</w:t>
      </w:r>
      <w:r w:rsidR="00561809">
        <w:t xml:space="preserve">  </w:t>
      </w:r>
    </w:p>
    <w:p w14:paraId="33C0EBCE" w14:textId="77777777" w:rsidR="00561809" w:rsidRPr="00E76EC6" w:rsidRDefault="00561809" w:rsidP="00691195">
      <w:pPr>
        <w:pStyle w:val="NoSpacing"/>
        <w:jc w:val="both"/>
      </w:pPr>
    </w:p>
    <w:p w14:paraId="0B231F2C" w14:textId="77777777" w:rsidR="00561809" w:rsidRDefault="00561809" w:rsidP="00691195">
      <w:pPr>
        <w:pStyle w:val="NoSpacing"/>
        <w:jc w:val="both"/>
      </w:pPr>
      <w:r>
        <w:t>Several clerks interviewed stressed the importance of staff impartiality: it was not for them to offer their views on policy questions. As an extension of this responsibility, some clerks considered it their duty to police the impartiality of parliamentary lawyers, and to counsel chairs if they believed that lawyers were straying too far into matters of policy and advocating particular positions: ‘</w:t>
      </w:r>
      <w:r w:rsidRPr="00723857">
        <w:t>I think it’s the clerk’s job to monitor whether it’s happening</w:t>
      </w:r>
      <w:r>
        <w:t>,</w:t>
      </w:r>
      <w:r w:rsidRPr="00723857">
        <w:t xml:space="preserve"> and to have the first attempt at stopping it</w:t>
      </w:r>
      <w:r>
        <w:t>.’</w:t>
      </w:r>
      <w:r>
        <w:rPr>
          <w:rStyle w:val="FootnoteReference"/>
        </w:rPr>
        <w:footnoteReference w:id="47"/>
      </w:r>
    </w:p>
    <w:p w14:paraId="5D6F8C96" w14:textId="77777777" w:rsidR="00561809" w:rsidRDefault="00561809" w:rsidP="00691195">
      <w:pPr>
        <w:pStyle w:val="NoSpacing"/>
        <w:jc w:val="both"/>
      </w:pPr>
    </w:p>
    <w:p w14:paraId="1B7139C6" w14:textId="52777ABB" w:rsidR="00561809" w:rsidRDefault="00561809" w:rsidP="00691195">
      <w:pPr>
        <w:pStyle w:val="NoSpacing"/>
        <w:jc w:val="both"/>
      </w:pPr>
      <w:r>
        <w:t>Closely linked to impartiality is the clerks’ view that they are responsible for protecting the autonomy of committees and Parliament. This stems from their</w:t>
      </w:r>
      <w:r w:rsidRPr="00AC6103">
        <w:t xml:space="preserve"> </w:t>
      </w:r>
      <w:r w:rsidR="00641DA7">
        <w:t>ongoing</w:t>
      </w:r>
      <w:r>
        <w:t xml:space="preserve"> engagement with </w:t>
      </w:r>
      <w:r>
        <w:lastRenderedPageBreak/>
        <w:t>parliamentarians and clerks’ view of parliamentarians as having an elevated status. This responsibility ha</w:t>
      </w:r>
      <w:r w:rsidR="002364F5">
        <w:t>s</w:t>
      </w:r>
      <w:r>
        <w:t xml:space="preserve"> a defensive aspect: clerks are sensiti</w:t>
      </w:r>
      <w:r w:rsidR="0096356C">
        <w:t>s</w:t>
      </w:r>
      <w:r>
        <w:t>ed to identify any matter which might engage Parliament’s exclusive cogni</w:t>
      </w:r>
      <w:r w:rsidR="002A7F25">
        <w:t>s</w:t>
      </w:r>
      <w:r>
        <w:t>ance—the right to regulate its own proceedings</w:t>
      </w:r>
      <w:r w:rsidR="00932A25">
        <w:t>. But it also has</w:t>
      </w:r>
      <w:r>
        <w:t xml:space="preserve"> a positive aspect—asserting Parliament’s autonomy. Feldman notes the response of the clerks when working as a parliamentary lawyer for the JCHR, and having drafted an initial set of letters for government departments:</w:t>
      </w:r>
    </w:p>
    <w:p w14:paraId="61C22E41" w14:textId="77777777" w:rsidR="00561809" w:rsidRDefault="00561809" w:rsidP="00691195">
      <w:pPr>
        <w:pStyle w:val="NoSpacing"/>
        <w:jc w:val="both"/>
      </w:pPr>
    </w:p>
    <w:p w14:paraId="71755ED5" w14:textId="557A0CB5" w:rsidR="00561809" w:rsidRDefault="00561809" w:rsidP="00691195">
      <w:pPr>
        <w:pStyle w:val="NoSpacing"/>
        <w:ind w:left="720"/>
        <w:jc w:val="both"/>
      </w:pPr>
      <w:r>
        <w:t>‘</w:t>
      </w:r>
      <w:r w:rsidRPr="00963C01">
        <w:t>I couched these letters in polite (some would say obsequious</w:t>
      </w:r>
      <w:r w:rsidR="00DC1057">
        <w:t>) terms: “</w:t>
      </w:r>
      <w:r w:rsidRPr="00963C01">
        <w:t>The Commit</w:t>
      </w:r>
      <w:r w:rsidR="00DC1057">
        <w:t>tee would be most grateful ...”</w:t>
      </w:r>
      <w:r>
        <w:t xml:space="preserve"> … </w:t>
      </w:r>
      <w:r w:rsidRPr="00963C01">
        <w:t>These expressions were ruthlessly excised by the Lords and Commons Clerks of the Committee, who reminded me that the ministers are accountable to Parliament, not the other way rou</w:t>
      </w:r>
      <w:r w:rsidR="00932A25">
        <w:t>nd: the two Houses are the boss…</w:t>
      </w:r>
      <w:r w:rsidRPr="00963C01">
        <w:t>.</w:t>
      </w:r>
      <w:r>
        <w:t>’</w:t>
      </w:r>
      <w:r>
        <w:rPr>
          <w:rStyle w:val="FootnoteReference"/>
        </w:rPr>
        <w:footnoteReference w:id="48"/>
      </w:r>
    </w:p>
    <w:p w14:paraId="3EC40ECF" w14:textId="77777777" w:rsidR="00561809" w:rsidRDefault="00561809" w:rsidP="00691195">
      <w:pPr>
        <w:pStyle w:val="NoSpacing"/>
        <w:jc w:val="both"/>
      </w:pPr>
    </w:p>
    <w:p w14:paraId="0278F7BD" w14:textId="1721DFBE" w:rsidR="00561809" w:rsidRDefault="00291902" w:rsidP="00691195">
      <w:pPr>
        <w:pStyle w:val="NoSpacing"/>
        <w:jc w:val="both"/>
      </w:pPr>
      <w:r>
        <w:t xml:space="preserve">The clerks interviewed </w:t>
      </w:r>
      <w:r w:rsidR="00561809">
        <w:t>saw themselves as distinct from parliamentary lawyers: they understood ‘the political’—parliamentarians, the Houses,</w:t>
      </w:r>
      <w:r w:rsidR="00561809" w:rsidRPr="00F94454">
        <w:t xml:space="preserve"> </w:t>
      </w:r>
      <w:r w:rsidR="00561809">
        <w:t xml:space="preserve">the sphere of politics—better, perhaps because of their proximity to parliamentarians </w:t>
      </w:r>
      <w:r w:rsidR="00CC5520">
        <w:t>and</w:t>
      </w:r>
      <w:r w:rsidR="00561809">
        <w:t xml:space="preserve"> because of their particular expertise. As one clerk put it:</w:t>
      </w:r>
    </w:p>
    <w:p w14:paraId="75C4CDA5" w14:textId="77777777" w:rsidR="00561809" w:rsidRDefault="00561809" w:rsidP="00691195">
      <w:pPr>
        <w:pStyle w:val="NoSpacing"/>
        <w:jc w:val="both"/>
      </w:pPr>
    </w:p>
    <w:p w14:paraId="1A1237CB" w14:textId="77777777" w:rsidR="00561809" w:rsidRDefault="00561809" w:rsidP="00691195">
      <w:pPr>
        <w:pStyle w:val="NoSpacing"/>
        <w:ind w:left="720"/>
        <w:jc w:val="both"/>
      </w:pPr>
      <w:r>
        <w:t>‘</w:t>
      </w:r>
      <w:r w:rsidRPr="00166281">
        <w:t>lawyers being lawyers, they're always going to be cautionary. Me being a parliamentary official, I’m naturally, of course, cautious</w:t>
      </w:r>
      <w:r>
        <w:t>,</w:t>
      </w:r>
      <w:r w:rsidRPr="00166281">
        <w:t xml:space="preserve"> but I’m also from a political perspective, </w:t>
      </w:r>
      <w:r>
        <w:t>…</w:t>
      </w:r>
      <w:r w:rsidRPr="00166281">
        <w:t xml:space="preserve"> more inclined to want to hold the line further up, to be asse</w:t>
      </w:r>
      <w:r>
        <w:t>rtive on behalf of Parliament.’</w:t>
      </w:r>
      <w:r>
        <w:rPr>
          <w:rStyle w:val="FootnoteReference"/>
        </w:rPr>
        <w:footnoteReference w:id="49"/>
      </w:r>
    </w:p>
    <w:p w14:paraId="47F33319" w14:textId="77777777" w:rsidR="00561809" w:rsidRDefault="00561809" w:rsidP="00691195">
      <w:pPr>
        <w:pStyle w:val="NoSpacing"/>
        <w:jc w:val="both"/>
      </w:pPr>
    </w:p>
    <w:p w14:paraId="57FC2371" w14:textId="7440DE48" w:rsidR="00561809" w:rsidRPr="00AB0C92" w:rsidRDefault="007D2B8A" w:rsidP="007D2B8A">
      <w:pPr>
        <w:pStyle w:val="NoSpacing"/>
        <w:rPr>
          <w:i/>
        </w:rPr>
      </w:pPr>
      <w:r>
        <w:rPr>
          <w:i/>
        </w:rPr>
        <w:t xml:space="preserve">4. </w:t>
      </w:r>
      <w:r w:rsidR="00F45B96">
        <w:rPr>
          <w:i/>
        </w:rPr>
        <w:t xml:space="preserve">The Professionals: </w:t>
      </w:r>
      <w:r w:rsidR="00561809">
        <w:rPr>
          <w:i/>
        </w:rPr>
        <w:t>Parliamentary lawyers</w:t>
      </w:r>
    </w:p>
    <w:p w14:paraId="719674DB" w14:textId="77777777" w:rsidR="00A95B93" w:rsidRDefault="00A95B93" w:rsidP="00691195">
      <w:pPr>
        <w:pStyle w:val="NoSpacing"/>
        <w:jc w:val="both"/>
      </w:pPr>
    </w:p>
    <w:p w14:paraId="7EE88C53" w14:textId="24FCEEF6" w:rsidR="00561809" w:rsidRPr="00B35777" w:rsidRDefault="00561809" w:rsidP="00691195">
      <w:pPr>
        <w:pStyle w:val="NoSpacing"/>
        <w:jc w:val="both"/>
      </w:pPr>
      <w:r>
        <w:t>Parliamentary lawyers are in-house lawyers employed by one of the Houses of Parliament to provide legal support.</w:t>
      </w:r>
      <w:r>
        <w:rPr>
          <w:rStyle w:val="FootnoteReference"/>
        </w:rPr>
        <w:footnoteReference w:id="50"/>
      </w:r>
      <w:r>
        <w:t xml:space="preserve"> They should be distinguished from lawyer-politicians; parliamentarians’ staff who are legally qualified, but who serve in a partisan capacity; and parliamentary counsel, government lawyers who draft executive primary legislation. </w:t>
      </w:r>
      <w:r w:rsidRPr="00AC50AA">
        <w:t xml:space="preserve">This definition </w:t>
      </w:r>
      <w:r>
        <w:t xml:space="preserve">also </w:t>
      </w:r>
      <w:r w:rsidRPr="00AC50AA">
        <w:t>excludes specialist advisers, who are appointed to support a committee for a single inquiry: they are temporary, not permanent staff.</w:t>
      </w:r>
      <w:r w:rsidR="00641DA7">
        <w:rPr>
          <w:rStyle w:val="FootnoteReference"/>
        </w:rPr>
        <w:footnoteReference w:id="51"/>
      </w:r>
      <w:r w:rsidRPr="00AC50AA">
        <w:t xml:space="preserve"> </w:t>
      </w:r>
      <w:r>
        <w:t xml:space="preserve">Parliamentary lawyers are small in number: currently, there are 16 in the House of Commons and </w:t>
      </w:r>
      <w:r w:rsidR="00CC5520">
        <w:t>6</w:t>
      </w:r>
      <w:r>
        <w:t xml:space="preserve"> in the Lords.</w:t>
      </w:r>
      <w:r>
        <w:rPr>
          <w:rStyle w:val="FootnoteReference"/>
        </w:rPr>
        <w:footnoteReference w:id="52"/>
      </w:r>
    </w:p>
    <w:p w14:paraId="3A5C4A08" w14:textId="77777777" w:rsidR="00561809" w:rsidRDefault="00561809" w:rsidP="00691195">
      <w:pPr>
        <w:pStyle w:val="NoSpacing"/>
        <w:jc w:val="both"/>
      </w:pPr>
    </w:p>
    <w:p w14:paraId="0190F4BE" w14:textId="3516E1E0" w:rsidR="00561809" w:rsidRDefault="00561809" w:rsidP="00691195">
      <w:pPr>
        <w:pStyle w:val="NoSpacing"/>
        <w:jc w:val="both"/>
      </w:pPr>
      <w:r>
        <w:t>In contrast to clerks, parliamentary lawyers at Westminster have traditionally not been a career cadre. Few have spent their working lives in Parliament: rather, they are mostly former government lawyers, with a small group coming from ‘the outside’</w:t>
      </w:r>
      <w:r w:rsidR="008E07BF">
        <w:t>,</w:t>
      </w:r>
      <w:r>
        <w:t xml:space="preserve"> i</w:t>
      </w:r>
      <w:r w:rsidR="008E07BF">
        <w:t>.</w:t>
      </w:r>
      <w:r>
        <w:t>e., academics and barristers. Moreover, parliamentary lawyers at Westminster historically have not formed a unified service. They have been line</w:t>
      </w:r>
      <w:r w:rsidR="00CC5520">
        <w:t>-</w:t>
      </w:r>
      <w:r>
        <w:t>managed lightly, sometimes by clerks</w:t>
      </w:r>
      <w:r w:rsidR="008E07BF">
        <w:t>,</w:t>
      </w:r>
      <w:r>
        <w:t xml:space="preserve"> </w:t>
      </w:r>
      <w:r>
        <w:lastRenderedPageBreak/>
        <w:t>sometimes by more senior lawyers; and they have been organised functionally, attached to a particular committee or office. Their organisation has reflected the nature of Parliament: a body of separate constituent parts—the Houses, select committees—each of whom act in a largely semi-autonomous manner from the other.</w:t>
      </w:r>
      <w:r>
        <w:rPr>
          <w:rStyle w:val="FootnoteReference"/>
        </w:rPr>
        <w:footnoteReference w:id="53"/>
      </w:r>
      <w:r>
        <w:t xml:space="preserve"> For all these reasons, parliamentary lawyers lack the cohesive, shared norms of clerks: what links them together is their professional norms.</w:t>
      </w:r>
      <w:r w:rsidR="001B6975">
        <w:t xml:space="preserve"> </w:t>
      </w:r>
    </w:p>
    <w:p w14:paraId="3109DCB7" w14:textId="77777777" w:rsidR="00561809" w:rsidRPr="006C2541" w:rsidRDefault="00561809" w:rsidP="00691195">
      <w:pPr>
        <w:pStyle w:val="NoSpacing"/>
        <w:jc w:val="both"/>
      </w:pPr>
    </w:p>
    <w:p w14:paraId="62651B17" w14:textId="2D6FA00F" w:rsidR="00561809" w:rsidRDefault="00561809" w:rsidP="00691195">
      <w:pPr>
        <w:pStyle w:val="NoSpacing"/>
        <w:jc w:val="both"/>
      </w:pPr>
      <w:r w:rsidRPr="006C2541">
        <w:t xml:space="preserve">The </w:t>
      </w:r>
      <w:r w:rsidR="00DC1057">
        <w:t>work</w:t>
      </w:r>
      <w:r w:rsidRPr="006C2541">
        <w:t xml:space="preserve"> of </w:t>
      </w:r>
      <w:r>
        <w:t>parliamentary lawyers</w:t>
      </w:r>
      <w:r w:rsidRPr="006C2541">
        <w:t xml:space="preserve"> </w:t>
      </w:r>
      <w:r w:rsidR="00C04F85">
        <w:t>is</w:t>
      </w:r>
      <w:r w:rsidRPr="006C2541">
        <w:t xml:space="preserve"> not easily defined</w:t>
      </w:r>
      <w:r>
        <w:t>, partly because of their compartmentali</w:t>
      </w:r>
      <w:r w:rsidR="002A7F25">
        <w:t>s</w:t>
      </w:r>
      <w:r>
        <w:t>ation and ad hoc growth at Westminster</w:t>
      </w:r>
      <w:r w:rsidRPr="006C2541">
        <w:t xml:space="preserve">. </w:t>
      </w:r>
      <w:r>
        <w:t xml:space="preserve">Like clerks, they have a range of </w:t>
      </w:r>
      <w:r w:rsidR="00C04F85">
        <w:t>responsibilities</w:t>
      </w:r>
      <w:r>
        <w:t xml:space="preserve"> in Parliament, but here we focus on their work with committees. </w:t>
      </w:r>
      <w:r w:rsidR="00CC5520">
        <w:t>W</w:t>
      </w:r>
      <w:r>
        <w:t>ithin committees their roles vary, because of remit and the particular personalities of chair, clerk and parliamentary lawyer</w:t>
      </w:r>
      <w:r w:rsidRPr="006C2541">
        <w:t xml:space="preserve">. Generally, however, in line with </w:t>
      </w:r>
      <w:r>
        <w:t>committees’</w:t>
      </w:r>
      <w:r w:rsidRPr="006C2541">
        <w:t xml:space="preserve"> principal objective, parliamentary lawyers work to enhance scrutiny: </w:t>
      </w:r>
    </w:p>
    <w:p w14:paraId="5BCD390D" w14:textId="77777777" w:rsidR="00561809" w:rsidRDefault="00561809" w:rsidP="00691195">
      <w:pPr>
        <w:pStyle w:val="NoSpacing"/>
        <w:jc w:val="both"/>
      </w:pPr>
    </w:p>
    <w:p w14:paraId="6B129B43" w14:textId="65912B2E" w:rsidR="00561809" w:rsidRPr="006C2541" w:rsidRDefault="00691195" w:rsidP="00691195">
      <w:pPr>
        <w:pStyle w:val="NoSpacing"/>
        <w:ind w:left="720"/>
        <w:jc w:val="both"/>
      </w:pPr>
      <w:r>
        <w:t>‘</w:t>
      </w:r>
      <w:r w:rsidR="00561809" w:rsidRPr="00D806B6">
        <w:t>my job was to make …</w:t>
      </w:r>
      <w:r w:rsidR="00561809">
        <w:t xml:space="preserve"> </w:t>
      </w:r>
      <w:r w:rsidR="00561809" w:rsidRPr="00D806B6">
        <w:t xml:space="preserve">an MP’s scrutiny </w:t>
      </w:r>
      <w:r w:rsidR="00561809">
        <w:t>…</w:t>
      </w:r>
      <w:r w:rsidR="00561809" w:rsidRPr="00D806B6">
        <w:t xml:space="preserve"> more effective.</w:t>
      </w:r>
      <w:r w:rsidR="00561809">
        <w:t xml:space="preserve"> … A</w:t>
      </w:r>
      <w:r w:rsidR="00561809" w:rsidRPr="00D806B6">
        <w:t>ssess, you know</w:t>
      </w:r>
      <w:r w:rsidR="00561809">
        <w:t>,</w:t>
      </w:r>
      <w:r w:rsidR="00561809" w:rsidRPr="00D806B6">
        <w:t xml:space="preserve"> the advantages and disadvantages of a proposal</w:t>
      </w:r>
      <w:r w:rsidR="00561809">
        <w:t>.</w:t>
      </w:r>
      <w:r w:rsidR="00561809" w:rsidRPr="00D806B6">
        <w:t xml:space="preserve"> Effective scrutiny is providing your members with the advice they need actually to be asking the right questions of government, to tease out the stuff the government doesn't want to share.</w:t>
      </w:r>
      <w:r>
        <w:t>’</w:t>
      </w:r>
      <w:r w:rsidR="00561809">
        <w:rPr>
          <w:rStyle w:val="FootnoteReference"/>
        </w:rPr>
        <w:footnoteReference w:id="54"/>
      </w:r>
      <w:r w:rsidR="00561809">
        <w:t xml:space="preserve"> </w:t>
      </w:r>
    </w:p>
    <w:p w14:paraId="43DB36A0" w14:textId="77777777" w:rsidR="00561809" w:rsidRPr="006C2541" w:rsidRDefault="00561809" w:rsidP="00691195">
      <w:pPr>
        <w:pStyle w:val="NoSpacing"/>
        <w:jc w:val="both"/>
      </w:pPr>
    </w:p>
    <w:p w14:paraId="4BCB7782" w14:textId="1568E6EC" w:rsidR="00561809" w:rsidRDefault="00561809" w:rsidP="00691195">
      <w:pPr>
        <w:pStyle w:val="NoSpacing"/>
        <w:jc w:val="both"/>
      </w:pPr>
      <w:r w:rsidRPr="006C2541">
        <w:t xml:space="preserve">These lawyers perform this scrutiny-enhancing </w:t>
      </w:r>
      <w:r w:rsidR="00DC1057">
        <w:t>work</w:t>
      </w:r>
      <w:r w:rsidRPr="006C2541">
        <w:t xml:space="preserve"> in a number of ways. </w:t>
      </w:r>
      <w:r>
        <w:t>Much of their work revolves around explanation: explaining existing legal frameworks</w:t>
      </w:r>
      <w:r w:rsidRPr="006C2541">
        <w:t xml:space="preserve"> to members ‘in a way, as far as possible, tha</w:t>
      </w:r>
      <w:r>
        <w:t>t non-lawyers could grasp.’</w:t>
      </w:r>
      <w:r>
        <w:rPr>
          <w:rStyle w:val="FootnoteReference"/>
        </w:rPr>
        <w:footnoteReference w:id="55"/>
      </w:r>
      <w:r w:rsidRPr="006C2541">
        <w:t xml:space="preserve"> </w:t>
      </w:r>
      <w:r>
        <w:t xml:space="preserve">They </w:t>
      </w:r>
      <w:r w:rsidRPr="006C2541">
        <w:t xml:space="preserve">support committees by identifying </w:t>
      </w:r>
      <w:r w:rsidR="000A3410">
        <w:t xml:space="preserve">the key legal issues and </w:t>
      </w:r>
      <w:r w:rsidRPr="006C2541">
        <w:t>suitable witnesses to inquiries, and corresponding with witnesses and government departments.</w:t>
      </w:r>
      <w:r>
        <w:t xml:space="preserve"> </w:t>
      </w:r>
      <w:r w:rsidRPr="006C2541">
        <w:t>Sometimes, they provide legal advice in the traditional sense</w:t>
      </w:r>
      <w:r>
        <w:t xml:space="preserve">: drafting a written opinion giving a view about the law or the constitutionality of </w:t>
      </w:r>
      <w:r w:rsidR="008E07BF">
        <w:t xml:space="preserve">a particular </w:t>
      </w:r>
      <w:r>
        <w:t xml:space="preserve">action. They also </w:t>
      </w:r>
      <w:r w:rsidRPr="006C2541">
        <w:t>critiqu</w:t>
      </w:r>
      <w:r>
        <w:t>e</w:t>
      </w:r>
      <w:r w:rsidRPr="006C2541">
        <w:t xml:space="preserve"> the quality of primary and secondary legislative</w:t>
      </w:r>
      <w:r>
        <w:t xml:space="preserve"> texts and draft amendments to reflect the committee’s conclusions.</w:t>
      </w:r>
      <w:r w:rsidDel="00C45FDA">
        <w:t xml:space="preserve"> </w:t>
      </w:r>
      <w:r>
        <w:t>In these various ways, parliamentary lawyers provide what</w:t>
      </w:r>
      <w:r w:rsidRPr="006C2541">
        <w:rPr>
          <w:rFonts w:cstheme="minorHAnsi"/>
        </w:rPr>
        <w:t xml:space="preserve"> Mulley and Kinghorn describe as ‘non-litigious legal advice’.</w:t>
      </w:r>
      <w:r w:rsidRPr="006C2541">
        <w:rPr>
          <w:rStyle w:val="FootnoteReference"/>
          <w:rFonts w:cstheme="minorHAnsi"/>
        </w:rPr>
        <w:footnoteReference w:id="56"/>
      </w:r>
      <w:r>
        <w:rPr>
          <w:rFonts w:cstheme="minorHAnsi"/>
        </w:rPr>
        <w:t xml:space="preserve"> At their most general,</w:t>
      </w:r>
      <w:r>
        <w:t xml:space="preserve"> they engage in problem solving, offering</w:t>
      </w:r>
      <w:r w:rsidRPr="006C2541">
        <w:t xml:space="preserve"> views ‘on a way of approaching a problem,</w:t>
      </w:r>
      <w:r>
        <w:t xml:space="preserve"> or approaching a report’.</w:t>
      </w:r>
      <w:r>
        <w:rPr>
          <w:rStyle w:val="FootnoteReference"/>
        </w:rPr>
        <w:footnoteReference w:id="57"/>
      </w:r>
      <w:r>
        <w:t xml:space="preserve"> </w:t>
      </w:r>
    </w:p>
    <w:p w14:paraId="57B498D5" w14:textId="77777777" w:rsidR="00561809" w:rsidRDefault="00561809" w:rsidP="00691195">
      <w:pPr>
        <w:pStyle w:val="NoSpacing"/>
        <w:jc w:val="both"/>
      </w:pPr>
    </w:p>
    <w:p w14:paraId="4657FEB7" w14:textId="5909573C" w:rsidR="00561809" w:rsidRDefault="00561809" w:rsidP="00691195">
      <w:pPr>
        <w:pStyle w:val="NoSpacing"/>
        <w:jc w:val="both"/>
      </w:pPr>
      <w:r>
        <w:t>Several</w:t>
      </w:r>
      <w:r w:rsidRPr="006C2541">
        <w:t xml:space="preserve"> interviewees </w:t>
      </w:r>
      <w:r>
        <w:t>saw the work of lawyers</w:t>
      </w:r>
      <w:r w:rsidRPr="006C2541">
        <w:t xml:space="preserve"> </w:t>
      </w:r>
      <w:r>
        <w:t>being</w:t>
      </w:r>
      <w:r w:rsidRPr="006C2541">
        <w:t xml:space="preserve"> directly linked to the </w:t>
      </w:r>
      <w:r>
        <w:t xml:space="preserve">committee’s </w:t>
      </w:r>
      <w:r w:rsidRPr="006C2541">
        <w:t>reputation</w:t>
      </w:r>
      <w:r>
        <w:t>—and behind that, influence</w:t>
      </w:r>
      <w:r w:rsidRPr="006C2541">
        <w:t xml:space="preserve">. One clerk </w:t>
      </w:r>
      <w:r>
        <w:t>suggested</w:t>
      </w:r>
      <w:r w:rsidRPr="006C2541">
        <w:t xml:space="preserve"> that </w:t>
      </w:r>
      <w:r>
        <w:t>one</w:t>
      </w:r>
      <w:r w:rsidRPr="006C2541">
        <w:t xml:space="preserve"> responsibility of </w:t>
      </w:r>
      <w:r>
        <w:t>parliamentary</w:t>
      </w:r>
      <w:r w:rsidRPr="006C2541">
        <w:t xml:space="preserve"> lawyer</w:t>
      </w:r>
      <w:r>
        <w:t>s</w:t>
      </w:r>
      <w:r w:rsidRPr="006C2541">
        <w:t xml:space="preserve"> is to ensure that ‘the committee is aware of potential criticisms of the position they’re considering ta</w:t>
      </w:r>
      <w:r>
        <w:t>king from the legal community</w:t>
      </w:r>
      <w:r w:rsidRPr="006C2541">
        <w:t>.</w:t>
      </w:r>
      <w:r>
        <w:t>’</w:t>
      </w:r>
      <w:r>
        <w:rPr>
          <w:rStyle w:val="FootnoteReference"/>
        </w:rPr>
        <w:footnoteReference w:id="58"/>
      </w:r>
      <w:r w:rsidRPr="006C2541">
        <w:t xml:space="preserve"> </w:t>
      </w:r>
      <w:r w:rsidR="0089169E">
        <w:t>One</w:t>
      </w:r>
      <w:r w:rsidRPr="006C2541">
        <w:t xml:space="preserve"> </w:t>
      </w:r>
      <w:r>
        <w:t>parliamentary lawyer explained:</w:t>
      </w:r>
    </w:p>
    <w:p w14:paraId="38D39C6E" w14:textId="77777777" w:rsidR="00561809" w:rsidRPr="006C2541" w:rsidRDefault="00561809" w:rsidP="00691195">
      <w:pPr>
        <w:pStyle w:val="NoSpacing"/>
        <w:jc w:val="both"/>
      </w:pPr>
    </w:p>
    <w:p w14:paraId="2924FBA8" w14:textId="77777777" w:rsidR="00561809" w:rsidRPr="006C2541" w:rsidRDefault="00561809" w:rsidP="00691195">
      <w:pPr>
        <w:pStyle w:val="NoSpacing"/>
        <w:ind w:left="720"/>
        <w:jc w:val="both"/>
      </w:pPr>
      <w:r>
        <w:t>‘</w:t>
      </w:r>
      <w:r w:rsidRPr="006C2541">
        <w:t xml:space="preserve">the absolute minimum role is to stop the committee from doing anything embarrassing, either during evidence sessions or in its published reports. ... The </w:t>
      </w:r>
      <w:r w:rsidRPr="006C2541">
        <w:lastRenderedPageBreak/>
        <w:t>reputation of the committee really depends on the usefulness and</w:t>
      </w:r>
      <w:r>
        <w:t xml:space="preserve"> acceptance of its reports.</w:t>
      </w:r>
      <w:r w:rsidRPr="006C2541">
        <w:t xml:space="preserve"> So, it takes </w:t>
      </w:r>
      <w:r>
        <w:t xml:space="preserve">time to build up a reputation. </w:t>
      </w:r>
      <w:r w:rsidRPr="006C2541">
        <w:t>But it can be relatively easily</w:t>
      </w:r>
      <w:r>
        <w:t xml:space="preserve"> lost once you’ve built it up. </w:t>
      </w:r>
      <w:r w:rsidRPr="006C2541">
        <w:t>So that was my first job, particularly as it related to the law.</w:t>
      </w:r>
      <w:r>
        <w:t>’</w:t>
      </w:r>
      <w:r>
        <w:rPr>
          <w:rStyle w:val="FootnoteReference"/>
        </w:rPr>
        <w:footnoteReference w:id="59"/>
      </w:r>
      <w:r w:rsidRPr="006C2541">
        <w:t xml:space="preserve">  </w:t>
      </w:r>
    </w:p>
    <w:p w14:paraId="0AD731C1" w14:textId="77777777" w:rsidR="00561809" w:rsidRDefault="00561809" w:rsidP="00691195">
      <w:pPr>
        <w:pStyle w:val="NoSpacing"/>
        <w:jc w:val="both"/>
      </w:pPr>
    </w:p>
    <w:p w14:paraId="7C9C64CB" w14:textId="3FBE8FE0" w:rsidR="00561809" w:rsidRPr="00131572" w:rsidRDefault="00DC1057" w:rsidP="00691195">
      <w:pPr>
        <w:pStyle w:val="NoSpacing"/>
        <w:jc w:val="both"/>
      </w:pPr>
      <w:r>
        <w:t>But p</w:t>
      </w:r>
      <w:r w:rsidR="00561809" w:rsidRPr="00131572">
        <w:t xml:space="preserve">arliamentary lawyers </w:t>
      </w:r>
      <w:r w:rsidR="00660631">
        <w:t xml:space="preserve">also </w:t>
      </w:r>
      <w:r w:rsidR="00561809" w:rsidRPr="00131572">
        <w:t xml:space="preserve">saw themselves as having a </w:t>
      </w:r>
      <w:r>
        <w:t xml:space="preserve">particular </w:t>
      </w:r>
      <w:r w:rsidR="001B6975" w:rsidRPr="001B6975">
        <w:rPr>
          <w:i/>
        </w:rPr>
        <w:t>professional</w:t>
      </w:r>
      <w:r w:rsidR="001B6975">
        <w:t xml:space="preserve"> role</w:t>
      </w:r>
      <w:r>
        <w:t>, which came with particular responsibilities</w:t>
      </w:r>
      <w:r w:rsidR="001B6975">
        <w:t>. These responsibilities</w:t>
      </w:r>
      <w:r w:rsidR="00561809" w:rsidRPr="00131572">
        <w:t xml:space="preserve"> overlapped, to some extent, with </w:t>
      </w:r>
      <w:r>
        <w:t>the stewardship role</w:t>
      </w:r>
      <w:r w:rsidR="00561809" w:rsidRPr="00131572">
        <w:t xml:space="preserve"> of the clerks—in particular, the preservation of </w:t>
      </w:r>
      <w:r w:rsidR="007C7D6A">
        <w:t xml:space="preserve">their </w:t>
      </w:r>
      <w:r w:rsidR="00561809" w:rsidRPr="00131572">
        <w:t>impartiality and the autonomy of the committee</w:t>
      </w:r>
      <w:r w:rsidR="008E07BF">
        <w:t xml:space="preserve"> and Parliament</w:t>
      </w:r>
      <w:r w:rsidR="00561809" w:rsidRPr="00131572">
        <w:t>. These, however, tended to be narrower, framed in the professional language of the lawyer-client relationship. So, for instance, lawyer interviewees insisted that it was for the client to decide what to do with their advice: ‘[W]e advise the client and then the client decides what to do.’</w:t>
      </w:r>
      <w:r w:rsidR="00561809" w:rsidRPr="00131572">
        <w:rPr>
          <w:rStyle w:val="FootnoteReference"/>
        </w:rPr>
        <w:footnoteReference w:id="60"/>
      </w:r>
      <w:r w:rsidR="00561809" w:rsidRPr="00131572">
        <w:t xml:space="preserve"> This stance reflects the ‘standard conception’ of the lawyer’s role—in particular, the principles of non-accountability (that lawyers should not be held responsible for their client’s actions) and neutrality (that it is not for lawyers to judge their clients).</w:t>
      </w:r>
      <w:r w:rsidR="00561809" w:rsidRPr="00131572">
        <w:rPr>
          <w:rStyle w:val="FootnoteReference"/>
        </w:rPr>
        <w:footnoteReference w:id="61"/>
      </w:r>
      <w:r w:rsidR="00561809" w:rsidRPr="00131572">
        <w:t xml:space="preserve"> Both principles are based on client autonomy.</w:t>
      </w:r>
      <w:r w:rsidR="00561809" w:rsidRPr="00131572">
        <w:rPr>
          <w:rStyle w:val="FootnoteReference"/>
        </w:rPr>
        <w:footnoteReference w:id="62"/>
      </w:r>
      <w:r w:rsidR="00561809" w:rsidRPr="00131572">
        <w:t xml:space="preserve"> </w:t>
      </w:r>
    </w:p>
    <w:p w14:paraId="6535F49A" w14:textId="77777777" w:rsidR="00561809" w:rsidRDefault="00561809" w:rsidP="00691195">
      <w:pPr>
        <w:pStyle w:val="NoSpacing"/>
        <w:jc w:val="both"/>
      </w:pPr>
    </w:p>
    <w:p w14:paraId="61F59CB9" w14:textId="7836180E" w:rsidR="00561809" w:rsidRPr="003232EB" w:rsidRDefault="007D2B8A" w:rsidP="007D2B8A">
      <w:pPr>
        <w:pStyle w:val="NoSpacing"/>
        <w:rPr>
          <w:i/>
        </w:rPr>
      </w:pPr>
      <w:r>
        <w:rPr>
          <w:i/>
        </w:rPr>
        <w:t xml:space="preserve">5. </w:t>
      </w:r>
      <w:r w:rsidR="00561809">
        <w:rPr>
          <w:i/>
        </w:rPr>
        <w:t>Providing legal advice to committees: e</w:t>
      </w:r>
      <w:r w:rsidR="00561809" w:rsidRPr="003232EB">
        <w:rPr>
          <w:i/>
        </w:rPr>
        <w:t xml:space="preserve">veryday </w:t>
      </w:r>
      <w:r w:rsidR="001D4DB3">
        <w:rPr>
          <w:i/>
        </w:rPr>
        <w:t>practice</w:t>
      </w:r>
    </w:p>
    <w:p w14:paraId="340DD8EA" w14:textId="77777777" w:rsidR="00A95B93" w:rsidRDefault="00A95B93" w:rsidP="00691195">
      <w:pPr>
        <w:pStyle w:val="NoSpacing"/>
        <w:jc w:val="both"/>
      </w:pPr>
    </w:p>
    <w:p w14:paraId="268A4AD0" w14:textId="3D5AC070" w:rsidR="00561809" w:rsidRPr="00212DED" w:rsidRDefault="00561809" w:rsidP="00691195">
      <w:pPr>
        <w:pStyle w:val="NoSpacing"/>
        <w:jc w:val="both"/>
      </w:pPr>
      <w:r w:rsidRPr="00212DED">
        <w:t xml:space="preserve">Legal advice may be sought by any committee in an inquiry or when scrutinising legislation. Usually, this is requested via the clerk, </w:t>
      </w:r>
      <w:r w:rsidR="00EF7152" w:rsidRPr="00212DED">
        <w:t xml:space="preserve">the committee’s </w:t>
      </w:r>
      <w:r w:rsidRPr="00212DED">
        <w:t xml:space="preserve">members </w:t>
      </w:r>
      <w:r w:rsidR="00CC62DF" w:rsidRPr="00212DED">
        <w:t>or</w:t>
      </w:r>
      <w:r w:rsidRPr="00212DED">
        <w:t xml:space="preserve"> chair. This advice come</w:t>
      </w:r>
      <w:r w:rsidR="00EF7152" w:rsidRPr="00212DED">
        <w:t>s</w:t>
      </w:r>
      <w:r w:rsidRPr="00212DED">
        <w:t xml:space="preserve"> primarily from in-house parliamentary lawyers</w:t>
      </w:r>
      <w:r w:rsidR="00DF424C" w:rsidRPr="00212DED">
        <w:t>.</w:t>
      </w:r>
      <w:r w:rsidRPr="00212DED">
        <w:t xml:space="preserve"> ‘Legal advice’ itself is a process and not an event: it can cover the provision of information to the specific application of the law</w:t>
      </w:r>
      <w:r w:rsidR="006D78B4" w:rsidRPr="00212DED">
        <w:t>, and any of the various stages in-between</w:t>
      </w:r>
      <w:r w:rsidRPr="00212DED">
        <w:t xml:space="preserve">. We focus on the more formal side of the spectrum, </w:t>
      </w:r>
      <w:r w:rsidR="00912CE6" w:rsidRPr="00212DED">
        <w:t xml:space="preserve">as </w:t>
      </w:r>
      <w:r w:rsidR="006D78B4" w:rsidRPr="00212DED">
        <w:t xml:space="preserve">it is </w:t>
      </w:r>
      <w:r w:rsidR="00912CE6" w:rsidRPr="00212DED">
        <w:t xml:space="preserve">the </w:t>
      </w:r>
      <w:r w:rsidRPr="00212DED">
        <w:t>most likely to be published.</w:t>
      </w:r>
    </w:p>
    <w:p w14:paraId="2264CCBB" w14:textId="77777777" w:rsidR="00561809" w:rsidRPr="00212DED" w:rsidRDefault="00561809" w:rsidP="00691195">
      <w:pPr>
        <w:pStyle w:val="NoSpacing"/>
        <w:jc w:val="both"/>
      </w:pPr>
    </w:p>
    <w:p w14:paraId="100EDA22" w14:textId="5DA5AE94" w:rsidR="00561809" w:rsidRPr="00212DED" w:rsidRDefault="00561809" w:rsidP="00691195">
      <w:pPr>
        <w:pStyle w:val="NoSpacing"/>
        <w:jc w:val="both"/>
      </w:pPr>
      <w:r w:rsidRPr="00212DED">
        <w:t xml:space="preserve">Where written advice is required, it will be drafted by the parliamentary lawyer and sent to the clerk and chair, or circulated directly to the committee. It will then be discussed in a private session of the committee, with the parliamentary lawyer present, if necessary, to explain and sometimes justify </w:t>
      </w:r>
      <w:r w:rsidR="00F14538" w:rsidRPr="00212DED">
        <w:t>their</w:t>
      </w:r>
      <w:r w:rsidRPr="00212DED">
        <w:t xml:space="preserve"> advice. </w:t>
      </w:r>
    </w:p>
    <w:p w14:paraId="24D306AC" w14:textId="77777777" w:rsidR="00561809" w:rsidRPr="00212DED" w:rsidRDefault="00561809" w:rsidP="00691195">
      <w:pPr>
        <w:pStyle w:val="NoSpacing"/>
        <w:jc w:val="both"/>
      </w:pPr>
    </w:p>
    <w:p w14:paraId="4EB3B06D" w14:textId="4D73DAC7" w:rsidR="00561809" w:rsidRPr="00720F56" w:rsidRDefault="00561809" w:rsidP="00691195">
      <w:pPr>
        <w:pStyle w:val="NoSpacing"/>
        <w:jc w:val="both"/>
        <w:rPr>
          <w:rFonts w:cs="Times New Roman"/>
          <w:bCs/>
        </w:rPr>
      </w:pPr>
      <w:r w:rsidRPr="00212DED">
        <w:t>Non-publication of in-house legal advice is the norm.</w:t>
      </w:r>
      <w:r w:rsidRPr="00212DED">
        <w:rPr>
          <w:rFonts w:cs="Times New Roman"/>
          <w:bCs/>
        </w:rPr>
        <w:t xml:space="preserve"> So, for instance, the </w:t>
      </w:r>
      <w:r w:rsidRPr="00212DED">
        <w:t>House of Commons Privileges Committee in its inquiry on witnesses’ conduct before select committees (stemming from issues raised by the Commons’ Culture, Media and Sport inquiry on phone hacking) rejected calls to have its internal legal advice published, citing both parliamentary and legal professional privilege.</w:t>
      </w:r>
      <w:r w:rsidRPr="00212DED">
        <w:rPr>
          <w:rStyle w:val="FootnoteReference"/>
        </w:rPr>
        <w:footnoteReference w:id="63"/>
      </w:r>
      <w:r w:rsidRPr="00212DED">
        <w:t xml:space="preserve"> Where in-house legal advice is published without authorisation, it is treated as a violation of parliamentary privilege.</w:t>
      </w:r>
      <w:r w:rsidRPr="00212DED">
        <w:rPr>
          <w:rStyle w:val="FootnoteReference"/>
        </w:rPr>
        <w:footnoteReference w:id="64"/>
      </w:r>
      <w:r>
        <w:t xml:space="preserve"> </w:t>
      </w:r>
    </w:p>
    <w:p w14:paraId="5E842B6C" w14:textId="77777777" w:rsidR="00561809" w:rsidRDefault="00561809" w:rsidP="00691195">
      <w:pPr>
        <w:pStyle w:val="NoSpacing"/>
        <w:jc w:val="both"/>
      </w:pPr>
    </w:p>
    <w:p w14:paraId="0F82C8AC" w14:textId="32721EC7" w:rsidR="00561809" w:rsidRPr="007F6B2B" w:rsidRDefault="00561809" w:rsidP="00691195">
      <w:pPr>
        <w:pStyle w:val="NoSpacing"/>
        <w:jc w:val="both"/>
      </w:pPr>
      <w:r>
        <w:lastRenderedPageBreak/>
        <w:t xml:space="preserve">This norm of non-publication exists partly because much ‘legal advice’ is mundane: it is informative, not dispositive. </w:t>
      </w:r>
      <w:r w:rsidR="00A76A5D" w:rsidRPr="00212DED">
        <w:rPr>
          <w:highlight w:val="yellow"/>
        </w:rPr>
        <w:t xml:space="preserve">Alternatively, </w:t>
      </w:r>
      <w:r w:rsidR="00212DED">
        <w:rPr>
          <w:highlight w:val="yellow"/>
        </w:rPr>
        <w:t xml:space="preserve">views on </w:t>
      </w:r>
      <w:r w:rsidR="00A76A5D" w:rsidRPr="00212DED">
        <w:rPr>
          <w:highlight w:val="yellow"/>
        </w:rPr>
        <w:t xml:space="preserve">the state of the law may </w:t>
      </w:r>
      <w:r w:rsidR="00212DED">
        <w:rPr>
          <w:highlight w:val="yellow"/>
        </w:rPr>
        <w:t>differ substantially, so</w:t>
      </w:r>
      <w:r w:rsidR="00A76A5D" w:rsidRPr="00212DED">
        <w:rPr>
          <w:highlight w:val="yellow"/>
        </w:rPr>
        <w:t xml:space="preserve"> that counsel’s legal advice </w:t>
      </w:r>
      <w:r w:rsidR="00212DED" w:rsidRPr="00212DED">
        <w:rPr>
          <w:highlight w:val="yellow"/>
        </w:rPr>
        <w:t>amounts to</w:t>
      </w:r>
      <w:r w:rsidR="00A76A5D" w:rsidRPr="00212DED">
        <w:rPr>
          <w:highlight w:val="yellow"/>
        </w:rPr>
        <w:t xml:space="preserve"> a form of opinion</w:t>
      </w:r>
      <w:r w:rsidR="00212DED">
        <w:rPr>
          <w:highlight w:val="yellow"/>
        </w:rPr>
        <w:t>: it offers the committee no certainty</w:t>
      </w:r>
      <w:r w:rsidR="00212DED" w:rsidRPr="00212DED">
        <w:rPr>
          <w:highlight w:val="yellow"/>
        </w:rPr>
        <w:t>.</w:t>
      </w:r>
      <w:r w:rsidR="00A76A5D">
        <w:t xml:space="preserve"> </w:t>
      </w:r>
      <w:r>
        <w:t xml:space="preserve">But </w:t>
      </w:r>
      <w:r w:rsidR="000A3410">
        <w:t>the norm also exists</w:t>
      </w:r>
      <w:r>
        <w:t xml:space="preserve"> because where legal advice is dispositive, it is usually weaved into the committee report</w:t>
      </w:r>
      <w:r w:rsidR="006D78B4">
        <w:t xml:space="preserve">; </w:t>
      </w:r>
      <w:r w:rsidR="006D78B4" w:rsidRPr="006D78B4">
        <w:rPr>
          <w:highlight w:val="yellow"/>
        </w:rPr>
        <w:t>or because witness evidence covers the same ground</w:t>
      </w:r>
      <w:r w:rsidRPr="006D78B4">
        <w:rPr>
          <w:highlight w:val="yellow"/>
        </w:rPr>
        <w:t>.</w:t>
      </w:r>
      <w:r>
        <w:t xml:space="preserve"> </w:t>
      </w:r>
      <w:r w:rsidR="00212DED" w:rsidRPr="00212DED">
        <w:rPr>
          <w:highlight w:val="yellow"/>
        </w:rPr>
        <w:t xml:space="preserve">As we shall see in Part IV, </w:t>
      </w:r>
      <w:r w:rsidR="00212DED" w:rsidRPr="00212DED">
        <w:t>the publication of written legal advice has arisen from very specific, unique circumstances. In such cases, the legal advice has taken on an added significance which has elevated it from the advice routinely supplied by parliamentary staff supporting a committee.</w:t>
      </w:r>
    </w:p>
    <w:p w14:paraId="27591A52" w14:textId="77777777" w:rsidR="00561809" w:rsidRDefault="00561809" w:rsidP="00691195">
      <w:pPr>
        <w:pStyle w:val="NoSpacing"/>
        <w:jc w:val="both"/>
      </w:pPr>
    </w:p>
    <w:p w14:paraId="2053793C" w14:textId="77777777" w:rsidR="00561809" w:rsidRDefault="00561809" w:rsidP="00691195">
      <w:pPr>
        <w:pStyle w:val="NoSpacing"/>
        <w:jc w:val="both"/>
      </w:pPr>
      <w:r>
        <w:t>The result, however, is that t</w:t>
      </w:r>
      <w:r w:rsidRPr="007F6B2B">
        <w:t xml:space="preserve">here is no unique process by which confidential advice is authorised for publication. Further, there is an absence of official guidance </w:t>
      </w:r>
      <w:r>
        <w:t>on what considerations should be taken into account where a committee expresses an intention to publish in-house legal advice</w:t>
      </w:r>
      <w:r w:rsidRPr="007F6B2B">
        <w:t>.</w:t>
      </w:r>
      <w:r>
        <w:rPr>
          <w:rStyle w:val="FootnoteReference"/>
        </w:rPr>
        <w:footnoteReference w:id="65"/>
      </w:r>
    </w:p>
    <w:p w14:paraId="3D5EA42D" w14:textId="77777777" w:rsidR="00561809" w:rsidRPr="00CB2898" w:rsidRDefault="00561809" w:rsidP="00691195">
      <w:pPr>
        <w:pStyle w:val="NoSpacing"/>
        <w:jc w:val="both"/>
      </w:pPr>
    </w:p>
    <w:p w14:paraId="72CD20B8" w14:textId="68073CE4" w:rsidR="00561809" w:rsidRPr="00691195" w:rsidRDefault="00FC2431" w:rsidP="00A95B93">
      <w:pPr>
        <w:pStyle w:val="NoSpacing"/>
        <w:jc w:val="center"/>
        <w:rPr>
          <w:b/>
        </w:rPr>
      </w:pPr>
      <w:r w:rsidRPr="00691195">
        <w:rPr>
          <w:b/>
        </w:rPr>
        <w:t>I</w:t>
      </w:r>
      <w:r w:rsidR="00561809" w:rsidRPr="00691195">
        <w:rPr>
          <w:b/>
        </w:rPr>
        <w:t xml:space="preserve">V. </w:t>
      </w:r>
      <w:r w:rsidR="007D2B8A">
        <w:rPr>
          <w:b/>
        </w:rPr>
        <w:t xml:space="preserve">ACTORS’ VIEWS ON THE PUBLICATION OF LEGAL ADVICE </w:t>
      </w:r>
    </w:p>
    <w:p w14:paraId="0F18DF2F" w14:textId="77777777" w:rsidR="007D2B8A" w:rsidRDefault="007D2B8A" w:rsidP="007D2B8A">
      <w:pPr>
        <w:pStyle w:val="NoSpacing"/>
        <w:rPr>
          <w:b/>
        </w:rPr>
      </w:pPr>
    </w:p>
    <w:p w14:paraId="426D32E5" w14:textId="4836B796" w:rsidR="00561809" w:rsidRPr="007D2B8A" w:rsidRDefault="007D2B8A" w:rsidP="007D2B8A">
      <w:pPr>
        <w:pStyle w:val="NoSpacing"/>
        <w:rPr>
          <w:i/>
        </w:rPr>
      </w:pPr>
      <w:r>
        <w:rPr>
          <w:i/>
        </w:rPr>
        <w:t xml:space="preserve">1. </w:t>
      </w:r>
      <w:r w:rsidR="007D4524" w:rsidRPr="007D2B8A">
        <w:rPr>
          <w:i/>
        </w:rPr>
        <w:t>Consensus on committee autonomy and the value of transparency</w:t>
      </w:r>
      <w:r w:rsidR="00561809" w:rsidRPr="007D2B8A">
        <w:rPr>
          <w:i/>
        </w:rPr>
        <w:t xml:space="preserve"> </w:t>
      </w:r>
    </w:p>
    <w:p w14:paraId="2E30233E" w14:textId="77777777" w:rsidR="00A95B93" w:rsidRDefault="00A95B93" w:rsidP="00691195">
      <w:pPr>
        <w:pStyle w:val="NoSpacing"/>
        <w:jc w:val="both"/>
      </w:pPr>
    </w:p>
    <w:p w14:paraId="3031C96E" w14:textId="46304941" w:rsidR="00932A25" w:rsidRDefault="00932A25" w:rsidP="00691195">
      <w:pPr>
        <w:pStyle w:val="NoSpacing"/>
        <w:jc w:val="both"/>
      </w:pPr>
      <w:r>
        <w:t>H</w:t>
      </w:r>
      <w:r w:rsidRPr="00932A25">
        <w:t xml:space="preserve">aving established the framework within which legal advice is provided to committees, together with the goals/roles of its main actors and the processes through which legal advice is given and, on occasion, published, we now turn to a discussion of the consequences of potential publication. </w:t>
      </w:r>
    </w:p>
    <w:p w14:paraId="5F7FD58C" w14:textId="77777777" w:rsidR="00932A25" w:rsidRDefault="00932A25" w:rsidP="00691195">
      <w:pPr>
        <w:pStyle w:val="NoSpacing"/>
        <w:jc w:val="both"/>
      </w:pPr>
    </w:p>
    <w:p w14:paraId="7246655D" w14:textId="44B04E09" w:rsidR="00561809" w:rsidRDefault="00561809" w:rsidP="00691195">
      <w:pPr>
        <w:pStyle w:val="NoSpacing"/>
        <w:jc w:val="both"/>
      </w:pPr>
      <w:r>
        <w:t xml:space="preserve">Interviews revealed two key points of consensus amongst all actors over the publication of legal advice. First, select committees have </w:t>
      </w:r>
      <w:r w:rsidRPr="00F019AE">
        <w:rPr>
          <w:i/>
          <w:iCs/>
        </w:rPr>
        <w:t>autonomy</w:t>
      </w:r>
      <w:r>
        <w:t xml:space="preserve"> over the use of the evidence and information which they receive. Second, all recognised that, under certain circumstances, select committees can publically disclose legal advice in the interests of </w:t>
      </w:r>
      <w:r w:rsidRPr="00F019AE">
        <w:rPr>
          <w:i/>
          <w:iCs/>
        </w:rPr>
        <w:t>transparency</w:t>
      </w:r>
      <w:r>
        <w:t xml:space="preserve">. </w:t>
      </w:r>
    </w:p>
    <w:p w14:paraId="3406E846" w14:textId="77777777" w:rsidR="00A95B93" w:rsidRDefault="00A95B93" w:rsidP="00691195">
      <w:pPr>
        <w:pStyle w:val="NoSpacing"/>
        <w:jc w:val="both"/>
      </w:pPr>
    </w:p>
    <w:p w14:paraId="488F70F6" w14:textId="57FF314A" w:rsidR="00561809" w:rsidRPr="00E82FC4" w:rsidRDefault="00561809" w:rsidP="00691195">
      <w:pPr>
        <w:pStyle w:val="NoSpacing"/>
        <w:jc w:val="both"/>
      </w:pPr>
      <w:r w:rsidRPr="00E82FC4">
        <w:t xml:space="preserve">The dominant norm identified on the </w:t>
      </w:r>
      <w:r w:rsidR="006B5635">
        <w:t>issue</w:t>
      </w:r>
      <w:r w:rsidR="006B5635" w:rsidRPr="00E82FC4">
        <w:t xml:space="preserve"> </w:t>
      </w:r>
      <w:r w:rsidRPr="00E82FC4">
        <w:t xml:space="preserve">of publishing legal advice was the </w:t>
      </w:r>
      <w:r w:rsidRPr="00691195">
        <w:t>autonomy of select committee decision-making</w:t>
      </w:r>
      <w:r w:rsidRPr="00E82FC4">
        <w:t>. There were two dimensions to this.</w:t>
      </w:r>
      <w:r>
        <w:t xml:space="preserve"> </w:t>
      </w:r>
      <w:r w:rsidRPr="00E82FC4">
        <w:t xml:space="preserve">First, actors were united in the view that committee decisions are the political responsibility of committee members, not </w:t>
      </w:r>
      <w:r>
        <w:t>parliamentary</w:t>
      </w:r>
      <w:r w:rsidRPr="00E82FC4">
        <w:t xml:space="preserve"> staff.</w:t>
      </w:r>
      <w:r>
        <w:rPr>
          <w:rStyle w:val="FootnoteReference"/>
        </w:rPr>
        <w:footnoteReference w:id="66"/>
      </w:r>
      <w:r w:rsidRPr="00E82FC4">
        <w:t xml:space="preserve"> A number of clerks and lawyers expressed the view that decisions ultimately taken require ‘political backing’</w:t>
      </w:r>
      <w:r>
        <w:rPr>
          <w:rStyle w:val="FootnoteReference"/>
        </w:rPr>
        <w:footnoteReference w:id="67"/>
      </w:r>
      <w:r w:rsidRPr="00E82FC4">
        <w:t xml:space="preserve"> and ‘com</w:t>
      </w:r>
      <w:r>
        <w:t>mittee ownership’.</w:t>
      </w:r>
      <w:r>
        <w:rPr>
          <w:rStyle w:val="FootnoteReference"/>
        </w:rPr>
        <w:footnoteReference w:id="68"/>
      </w:r>
      <w:r w:rsidRPr="00E82FC4">
        <w:t xml:space="preserve"> As one lawyer explained, </w:t>
      </w:r>
    </w:p>
    <w:p w14:paraId="41ED58D2" w14:textId="77777777" w:rsidR="00561809" w:rsidRPr="00E82FC4" w:rsidRDefault="00561809" w:rsidP="00691195">
      <w:pPr>
        <w:pStyle w:val="NoSpacing"/>
        <w:jc w:val="both"/>
      </w:pPr>
    </w:p>
    <w:p w14:paraId="497546C2" w14:textId="77777777" w:rsidR="00561809" w:rsidRPr="00E82FC4" w:rsidRDefault="00561809" w:rsidP="00691195">
      <w:pPr>
        <w:pStyle w:val="NoSpacing"/>
        <w:ind w:left="720"/>
        <w:jc w:val="both"/>
      </w:pPr>
      <w:r>
        <w:t>‘</w:t>
      </w:r>
      <w:r w:rsidRPr="00E82FC4">
        <w:t xml:space="preserve">[I]t’s really important that they take responsibility for speaking in their own voice, and issuing reports—which may have been drafted for them by others, but which they’d had to discuss and agree with whether or not they want to put </w:t>
      </w:r>
      <w:r>
        <w:t>it out there in their name</w:t>
      </w:r>
      <w:r w:rsidRPr="00E82FC4">
        <w:t>.</w:t>
      </w:r>
      <w:r>
        <w:t>’</w:t>
      </w:r>
      <w:r>
        <w:rPr>
          <w:rStyle w:val="FootnoteReference"/>
        </w:rPr>
        <w:footnoteReference w:id="69"/>
      </w:r>
      <w:r w:rsidRPr="00E82FC4">
        <w:t xml:space="preserve"> </w:t>
      </w:r>
    </w:p>
    <w:p w14:paraId="33284B7B" w14:textId="77777777" w:rsidR="00561809" w:rsidRPr="00E82FC4" w:rsidRDefault="00561809" w:rsidP="00691195">
      <w:pPr>
        <w:pStyle w:val="NoSpacing"/>
        <w:jc w:val="both"/>
      </w:pPr>
    </w:p>
    <w:p w14:paraId="2BE480B5" w14:textId="54A1B5D8" w:rsidR="00561809" w:rsidRPr="00E82FC4" w:rsidRDefault="00561809" w:rsidP="00691195">
      <w:pPr>
        <w:pStyle w:val="NoSpacing"/>
        <w:jc w:val="both"/>
      </w:pPr>
      <w:r w:rsidRPr="00E82FC4">
        <w:lastRenderedPageBreak/>
        <w:t xml:space="preserve">This dimension of committee autonomy is </w:t>
      </w:r>
      <w:r>
        <w:t xml:space="preserve">reflected in </w:t>
      </w:r>
      <w:r w:rsidRPr="00E82FC4">
        <w:t xml:space="preserve">current working practices. Clerks and parliamentary lawyers have low visibility. Most of their work is conducted </w:t>
      </w:r>
      <w:r w:rsidRPr="00E82FC4">
        <w:rPr>
          <w:rFonts w:cstheme="minorHAnsi"/>
        </w:rPr>
        <w:t>‘behind the scenes’,</w:t>
      </w:r>
      <w:r w:rsidRPr="00E82FC4">
        <w:rPr>
          <w:rFonts w:cstheme="minorHAnsi"/>
          <w:vertAlign w:val="superscript"/>
        </w:rPr>
        <w:footnoteReference w:id="70"/>
      </w:r>
      <w:r w:rsidRPr="00E82FC4">
        <w:rPr>
          <w:rFonts w:cstheme="minorHAnsi"/>
        </w:rPr>
        <w:t xml:space="preserve"> with the consequence that their work is ‘little noticed outside or even inside Westminster’.</w:t>
      </w:r>
      <w:r w:rsidRPr="00E82FC4">
        <w:rPr>
          <w:rFonts w:cstheme="minorHAnsi"/>
          <w:vertAlign w:val="superscript"/>
        </w:rPr>
        <w:footnoteReference w:id="71"/>
      </w:r>
      <w:r w:rsidRPr="00E82FC4">
        <w:rPr>
          <w:rFonts w:cstheme="minorHAnsi"/>
        </w:rPr>
        <w:t xml:space="preserve"> </w:t>
      </w:r>
      <w:r w:rsidR="0079387F">
        <w:t>One</w:t>
      </w:r>
      <w:r w:rsidRPr="00E82FC4">
        <w:t xml:space="preserve"> clerk </w:t>
      </w:r>
      <w:r w:rsidR="001F1EA3">
        <w:t>said</w:t>
      </w:r>
      <w:r w:rsidRPr="00E82FC4">
        <w:t xml:space="preserve">: </w:t>
      </w:r>
    </w:p>
    <w:p w14:paraId="782A5D1E" w14:textId="77777777" w:rsidR="00561809" w:rsidRPr="00E82FC4" w:rsidRDefault="00561809" w:rsidP="00691195">
      <w:pPr>
        <w:pStyle w:val="NoSpacing"/>
        <w:jc w:val="both"/>
      </w:pPr>
    </w:p>
    <w:p w14:paraId="0C433F0A" w14:textId="77777777" w:rsidR="00561809" w:rsidRPr="00E82FC4" w:rsidRDefault="00561809" w:rsidP="00691195">
      <w:pPr>
        <w:pStyle w:val="NoSpacing"/>
        <w:ind w:left="720"/>
        <w:jc w:val="both"/>
      </w:pPr>
      <w:r>
        <w:t>‘</w:t>
      </w:r>
      <w:r w:rsidRPr="00E82FC4">
        <w:t>To be honest, committees are often totally unaware of the in-house staff that are helping them—beyond the clerk …</w:t>
      </w:r>
      <w:r>
        <w:t xml:space="preserve"> </w:t>
      </w:r>
      <w:r w:rsidRPr="00E82FC4">
        <w:t>[M]</w:t>
      </w:r>
      <w:proofErr w:type="spellStart"/>
      <w:r w:rsidRPr="00E82FC4">
        <w:t>ost</w:t>
      </w:r>
      <w:proofErr w:type="spellEnd"/>
      <w:r w:rsidRPr="00E82FC4">
        <w:t xml:space="preserve"> members of committee will probably be unaware that there were legal advisers working with the committee.</w:t>
      </w:r>
      <w:r>
        <w:t>’</w:t>
      </w:r>
      <w:r>
        <w:rPr>
          <w:rStyle w:val="FootnoteReference"/>
        </w:rPr>
        <w:footnoteReference w:id="72"/>
      </w:r>
      <w:r w:rsidRPr="00E82FC4">
        <w:t xml:space="preserve"> </w:t>
      </w:r>
    </w:p>
    <w:p w14:paraId="0AD60EEB" w14:textId="77777777" w:rsidR="00561809" w:rsidRPr="00E82FC4" w:rsidRDefault="00561809" w:rsidP="00691195">
      <w:pPr>
        <w:pStyle w:val="NoSpacing"/>
        <w:jc w:val="both"/>
      </w:pPr>
    </w:p>
    <w:p w14:paraId="51070E42" w14:textId="137C828F" w:rsidR="00561809" w:rsidRPr="00E82FC4" w:rsidRDefault="00561809" w:rsidP="00691195">
      <w:pPr>
        <w:pStyle w:val="NoSpacing"/>
        <w:jc w:val="both"/>
      </w:pPr>
      <w:r>
        <w:t xml:space="preserve">These arrangements </w:t>
      </w:r>
      <w:r w:rsidR="0079387F">
        <w:t>reinforce</w:t>
      </w:r>
      <w:r w:rsidR="0079387F" w:rsidRPr="00E82FC4">
        <w:t xml:space="preserve"> </w:t>
      </w:r>
      <w:r w:rsidRPr="00E82FC4">
        <w:t xml:space="preserve">the autonomy of </w:t>
      </w:r>
      <w:r>
        <w:t xml:space="preserve">the </w:t>
      </w:r>
      <w:r w:rsidRPr="00E82FC4">
        <w:t>committee</w:t>
      </w:r>
      <w:r>
        <w:t>, and also help to ensure</w:t>
      </w:r>
      <w:r w:rsidRPr="00E82FC4">
        <w:t xml:space="preserve"> that staff </w:t>
      </w:r>
      <w:r>
        <w:t>are unlikely to</w:t>
      </w:r>
      <w:r w:rsidRPr="00E82FC4">
        <w:t xml:space="preserve"> become the subject of political controversy. Notably, </w:t>
      </w:r>
      <w:r>
        <w:t xml:space="preserve">several of the </w:t>
      </w:r>
      <w:r w:rsidRPr="00E82FC4">
        <w:t xml:space="preserve">clerks and parliamentary lawyers interviewed </w:t>
      </w:r>
      <w:r w:rsidR="0079387F">
        <w:t>preferred</w:t>
      </w:r>
      <w:r w:rsidRPr="00E82FC4">
        <w:t xml:space="preserve"> this </w:t>
      </w:r>
      <w:r>
        <w:t xml:space="preserve">arrangement. </w:t>
      </w:r>
    </w:p>
    <w:p w14:paraId="16BADF5B" w14:textId="77777777" w:rsidR="00561809" w:rsidRPr="00E82FC4" w:rsidRDefault="00561809" w:rsidP="00691195">
      <w:pPr>
        <w:pStyle w:val="NoSpacing"/>
        <w:jc w:val="both"/>
      </w:pPr>
    </w:p>
    <w:p w14:paraId="1A1776AF" w14:textId="029E4B5A" w:rsidR="00561809" w:rsidRDefault="00561809" w:rsidP="00691195">
      <w:pPr>
        <w:pStyle w:val="NoSpacing"/>
        <w:jc w:val="both"/>
      </w:pPr>
      <w:r w:rsidRPr="00E82FC4">
        <w:rPr>
          <w:rFonts w:cstheme="minorHAnsi"/>
        </w:rPr>
        <w:t>The second dimension of this autonomy was that</w:t>
      </w:r>
      <w:r w:rsidR="006F1A29">
        <w:rPr>
          <w:rFonts w:cstheme="minorHAnsi"/>
        </w:rPr>
        <w:t>,</w:t>
      </w:r>
      <w:r w:rsidRPr="00E82FC4">
        <w:rPr>
          <w:rFonts w:cstheme="minorHAnsi"/>
        </w:rPr>
        <w:t xml:space="preserve"> </w:t>
      </w:r>
      <w:r w:rsidR="006F1A29" w:rsidRPr="006F1A29">
        <w:rPr>
          <w:rFonts w:cstheme="minorHAnsi"/>
          <w:highlight w:val="yellow"/>
        </w:rPr>
        <w:t>in principle,</w:t>
      </w:r>
      <w:r w:rsidR="006F1A29">
        <w:rPr>
          <w:rFonts w:cstheme="minorHAnsi"/>
        </w:rPr>
        <w:t xml:space="preserve"> </w:t>
      </w:r>
      <w:r w:rsidRPr="00E82FC4">
        <w:rPr>
          <w:rFonts w:cstheme="minorHAnsi"/>
        </w:rPr>
        <w:t xml:space="preserve">committees have full discretion over how they make use of the evidence and information which they receive, including the advice of </w:t>
      </w:r>
      <w:r>
        <w:rPr>
          <w:rFonts w:cstheme="minorHAnsi"/>
        </w:rPr>
        <w:t>parliamentary</w:t>
      </w:r>
      <w:r w:rsidRPr="00E82FC4">
        <w:rPr>
          <w:rFonts w:cstheme="minorHAnsi"/>
        </w:rPr>
        <w:t xml:space="preserve"> staff. A</w:t>
      </w:r>
      <w:r w:rsidRPr="00E82FC4">
        <w:t>n MP explained that ‘[t]he members will decide how much weight they give to [advice] in the overall report’</w:t>
      </w:r>
      <w:r>
        <w:t>.</w:t>
      </w:r>
      <w:r>
        <w:rPr>
          <w:rStyle w:val="FootnoteReference"/>
        </w:rPr>
        <w:footnoteReference w:id="73"/>
      </w:r>
      <w:r w:rsidRPr="00E82FC4">
        <w:t xml:space="preserve"> Likewise, </w:t>
      </w:r>
      <w:r w:rsidRPr="00E82FC4">
        <w:rPr>
          <w:rFonts w:cstheme="minorHAnsi"/>
        </w:rPr>
        <w:t xml:space="preserve">a </w:t>
      </w:r>
      <w:r w:rsidRPr="00E82FC4">
        <w:t>peer argued that ‘you have to think about the freedom of the select committee</w:t>
      </w:r>
      <w:r w:rsidR="0079387F">
        <w:t xml:space="preserve"> </w:t>
      </w:r>
      <w:r w:rsidRPr="00E82FC4">
        <w:t>... They’re not obliged to</w:t>
      </w:r>
      <w:r>
        <w:t xml:space="preserve"> accept the advice</w:t>
      </w:r>
      <w:r w:rsidR="0079387F">
        <w:t>’</w:t>
      </w:r>
      <w:r w:rsidRPr="00E82FC4">
        <w:t>.</w:t>
      </w:r>
      <w:r>
        <w:rPr>
          <w:rStyle w:val="FootnoteReference"/>
        </w:rPr>
        <w:footnoteReference w:id="74"/>
      </w:r>
      <w:r w:rsidRPr="00E82FC4">
        <w:t xml:space="preserve"> </w:t>
      </w:r>
      <w:r w:rsidR="00E305D7" w:rsidRPr="00E305D7">
        <w:rPr>
          <w:highlight w:val="yellow"/>
        </w:rPr>
        <w:t>This was a political judgment, subject to political considerations</w:t>
      </w:r>
      <w:r w:rsidR="00E305D7">
        <w:rPr>
          <w:highlight w:val="yellow"/>
        </w:rPr>
        <w:t>—such as the potential impact on the House</w:t>
      </w:r>
      <w:r w:rsidR="00E305D7" w:rsidRPr="00E305D7">
        <w:rPr>
          <w:highlight w:val="yellow"/>
        </w:rPr>
        <w:t>.</w:t>
      </w:r>
      <w:r w:rsidR="00E305D7">
        <w:t xml:space="preserve"> </w:t>
      </w:r>
    </w:p>
    <w:p w14:paraId="1130DC23" w14:textId="77777777" w:rsidR="00561809" w:rsidRDefault="00561809" w:rsidP="00691195">
      <w:pPr>
        <w:pStyle w:val="NoSpacing"/>
        <w:jc w:val="both"/>
      </w:pPr>
    </w:p>
    <w:p w14:paraId="1A79E5E9" w14:textId="7152AB2E" w:rsidR="00561809" w:rsidRPr="00E82FC4" w:rsidRDefault="00561809" w:rsidP="00691195">
      <w:pPr>
        <w:pStyle w:val="NoSpacing"/>
        <w:jc w:val="both"/>
        <w:rPr>
          <w:rFonts w:cstheme="minorHAnsi"/>
        </w:rPr>
      </w:pPr>
      <w:r>
        <w:t>Clerks agreed</w:t>
      </w:r>
      <w:r w:rsidRPr="00E82FC4">
        <w:t xml:space="preserve">. One argued that there were </w:t>
      </w:r>
      <w:r w:rsidR="006F1A29" w:rsidRPr="006F1A29">
        <w:rPr>
          <w:highlight w:val="yellow"/>
        </w:rPr>
        <w:t>few</w:t>
      </w:r>
      <w:r w:rsidRPr="00E82FC4">
        <w:t xml:space="preserve"> constraints on how a committee makes use of advice: ‘...the committee might not agonise over legal advice. It might just</w:t>
      </w:r>
      <w:r>
        <w:t xml:space="preserve"> say</w:t>
      </w:r>
      <w:r w:rsidR="0079387F">
        <w:t>,</w:t>
      </w:r>
      <w:r>
        <w:t xml:space="preserve"> “Oh, there it is”’</w:t>
      </w:r>
      <w:r w:rsidRPr="00E82FC4">
        <w:t>.</w:t>
      </w:r>
      <w:r>
        <w:rPr>
          <w:rStyle w:val="FootnoteReference"/>
        </w:rPr>
        <w:footnoteReference w:id="75"/>
      </w:r>
      <w:r w:rsidRPr="00E82FC4">
        <w:t xml:space="preserve"> </w:t>
      </w:r>
      <w:r>
        <w:t>A</w:t>
      </w:r>
      <w:r w:rsidRPr="00E82FC4">
        <w:t>nother clerk emphasised that ‘[u]</w:t>
      </w:r>
      <w:proofErr w:type="spellStart"/>
      <w:r w:rsidRPr="00E82FC4">
        <w:t>ltimately</w:t>
      </w:r>
      <w:proofErr w:type="spellEnd"/>
      <w:r w:rsidRPr="00E82FC4">
        <w:t>, a committee can deci</w:t>
      </w:r>
      <w:r>
        <w:t>de to publish anything’</w:t>
      </w:r>
      <w:r w:rsidRPr="00E82FC4">
        <w:t>.</w:t>
      </w:r>
      <w:r>
        <w:rPr>
          <w:rStyle w:val="FootnoteReference"/>
        </w:rPr>
        <w:footnoteReference w:id="76"/>
      </w:r>
      <w:r w:rsidRPr="00E82FC4">
        <w:t xml:space="preserve"> From this perspective, </w:t>
      </w:r>
      <w:r w:rsidR="0079387F">
        <w:t>deciding</w:t>
      </w:r>
      <w:r w:rsidRPr="00E82FC4">
        <w:t xml:space="preserve"> </w:t>
      </w:r>
      <w:r w:rsidR="0079387F">
        <w:t xml:space="preserve">whether or not </w:t>
      </w:r>
      <w:r w:rsidRPr="00E82FC4">
        <w:t xml:space="preserve">to publish legal advice forms part of the committee’s overall assessment of the evidence and information it has received – an assessment intrinsic to its autonomy. </w:t>
      </w:r>
    </w:p>
    <w:p w14:paraId="5175E227" w14:textId="77777777" w:rsidR="00561809" w:rsidRPr="00E82FC4" w:rsidRDefault="00561809" w:rsidP="00691195">
      <w:pPr>
        <w:pStyle w:val="NoSpacing"/>
        <w:jc w:val="both"/>
      </w:pPr>
    </w:p>
    <w:p w14:paraId="3271C916" w14:textId="5E2A5BC5" w:rsidR="00561809" w:rsidRPr="00E82FC4" w:rsidRDefault="00561809" w:rsidP="00691195">
      <w:pPr>
        <w:pStyle w:val="NoSpacing"/>
        <w:jc w:val="both"/>
      </w:pPr>
      <w:r>
        <w:t>P</w:t>
      </w:r>
      <w:r w:rsidRPr="00E82FC4">
        <w:t xml:space="preserve">arliamentary lawyers </w:t>
      </w:r>
      <w:r w:rsidR="001D4DB3">
        <w:t>agreed</w:t>
      </w:r>
      <w:r>
        <w:t>, but often expressed this by raising legal</w:t>
      </w:r>
      <w:r w:rsidRPr="00E82FC4">
        <w:t xml:space="preserve"> professional privilege (LPP)</w:t>
      </w:r>
      <w:r>
        <w:t xml:space="preserve">, </w:t>
      </w:r>
      <w:r w:rsidRPr="00E82FC4">
        <w:t>a right of confidentiality which ‘</w:t>
      </w:r>
      <w:r w:rsidRPr="00B202C4">
        <w:t>belongs</w:t>
      </w:r>
      <w:r w:rsidRPr="00E82FC4">
        <w:t xml:space="preserve"> to the client’</w:t>
      </w:r>
      <w:r>
        <w:t>,</w:t>
      </w:r>
      <w:r w:rsidRPr="00E82FC4">
        <w:rPr>
          <w:rStyle w:val="FootnoteReference"/>
        </w:rPr>
        <w:footnoteReference w:id="77"/>
      </w:r>
      <w:r>
        <w:t xml:space="preserve"> and client autonomy:</w:t>
      </w:r>
      <w:r w:rsidRPr="00E82FC4">
        <w:t xml:space="preserve"> </w:t>
      </w:r>
    </w:p>
    <w:p w14:paraId="523C1F71" w14:textId="77777777" w:rsidR="00561809" w:rsidRPr="00E82FC4" w:rsidRDefault="00561809" w:rsidP="00691195">
      <w:pPr>
        <w:pStyle w:val="NoSpacing"/>
        <w:jc w:val="both"/>
      </w:pPr>
    </w:p>
    <w:p w14:paraId="48135317" w14:textId="77777777" w:rsidR="001F6ABD" w:rsidRDefault="001F6ABD" w:rsidP="00691195">
      <w:pPr>
        <w:pStyle w:val="NoSpacing"/>
        <w:ind w:left="720"/>
        <w:jc w:val="both"/>
      </w:pPr>
      <w:r>
        <w:t>‘</w:t>
      </w:r>
      <w:r w:rsidRPr="00E82FC4">
        <w:t>[T]o an extent your advice is … the clients to do what they</w:t>
      </w:r>
      <w:r>
        <w:t xml:space="preserve"> want with.’</w:t>
      </w:r>
      <w:r>
        <w:rPr>
          <w:rStyle w:val="FootnoteReference"/>
        </w:rPr>
        <w:footnoteReference w:id="78"/>
      </w:r>
    </w:p>
    <w:p w14:paraId="1C3C3E0F" w14:textId="77777777" w:rsidR="001F6ABD" w:rsidRPr="00E82FC4" w:rsidRDefault="001F6ABD" w:rsidP="00691195">
      <w:pPr>
        <w:pStyle w:val="NoSpacing"/>
        <w:ind w:left="720"/>
        <w:jc w:val="both"/>
      </w:pPr>
    </w:p>
    <w:p w14:paraId="678F12B5" w14:textId="24A9AC1B" w:rsidR="00561809" w:rsidRPr="00E82FC4" w:rsidRDefault="001F6ABD" w:rsidP="00691195">
      <w:pPr>
        <w:pStyle w:val="NoSpacing"/>
        <w:ind w:left="720"/>
        <w:jc w:val="both"/>
      </w:pPr>
      <w:r>
        <w:t xml:space="preserve"> </w:t>
      </w:r>
      <w:r w:rsidR="00561809">
        <w:t>‘</w:t>
      </w:r>
      <w:r w:rsidR="00561809" w:rsidRPr="00E82FC4">
        <w:t>My advice is to the committee ... it's their advice. ... If they want to publish it for political reasons or policy reasons, then I didn't feel like I could</w:t>
      </w:r>
      <w:r w:rsidR="00561809">
        <w:t xml:space="preserve"> stand in the way of that</w:t>
      </w:r>
      <w:r w:rsidR="00561809" w:rsidRPr="00E82FC4">
        <w:t>.</w:t>
      </w:r>
      <w:r w:rsidR="00561809">
        <w:t>’</w:t>
      </w:r>
      <w:r w:rsidR="00561809">
        <w:rPr>
          <w:rStyle w:val="FootnoteReference"/>
        </w:rPr>
        <w:footnoteReference w:id="79"/>
      </w:r>
      <w:r w:rsidR="00561809" w:rsidRPr="00E82FC4">
        <w:t xml:space="preserve"> </w:t>
      </w:r>
    </w:p>
    <w:p w14:paraId="464F1981" w14:textId="77777777" w:rsidR="00561809" w:rsidRPr="00E82FC4" w:rsidRDefault="00561809" w:rsidP="00691195">
      <w:pPr>
        <w:pStyle w:val="NoSpacing"/>
        <w:jc w:val="both"/>
      </w:pPr>
    </w:p>
    <w:p w14:paraId="63924E6A" w14:textId="6E01E965" w:rsidR="00561809" w:rsidRDefault="00561809" w:rsidP="00691195">
      <w:pPr>
        <w:pStyle w:val="NoSpacing"/>
        <w:jc w:val="both"/>
      </w:pPr>
      <w:r>
        <w:lastRenderedPageBreak/>
        <w:t>It</w:t>
      </w:r>
      <w:r w:rsidRPr="00E82FC4">
        <w:t xml:space="preserve"> was not for </w:t>
      </w:r>
      <w:r>
        <w:t>lawyers</w:t>
      </w:r>
      <w:r w:rsidRPr="00E82FC4">
        <w:t xml:space="preserve"> to posit views on what should be done </w:t>
      </w:r>
      <w:r>
        <w:t>with the advice they had given: publishing</w:t>
      </w:r>
      <w:r w:rsidRPr="00E82FC4">
        <w:t xml:space="preserve"> the advice was a political judgement for their client, the committee. </w:t>
      </w:r>
      <w:r>
        <w:t>This stance reflect</w:t>
      </w:r>
      <w:r w:rsidR="001F1EA3">
        <w:t>s</w:t>
      </w:r>
      <w:r>
        <w:t xml:space="preserve"> the principle of non-accountability (i.e., lawyers are not responsible for the client’s actions), a core aspect of the standard conception of the lawyer-client relationship.</w:t>
      </w:r>
      <w:r>
        <w:rPr>
          <w:rStyle w:val="FootnoteReference"/>
        </w:rPr>
        <w:footnoteReference w:id="80"/>
      </w:r>
      <w:r w:rsidRPr="00E82FC4" w:rsidDel="00006C54">
        <w:t xml:space="preserve"> </w:t>
      </w:r>
      <w:r w:rsidRPr="00E82FC4">
        <w:t xml:space="preserve">Thus, </w:t>
      </w:r>
      <w:r>
        <w:t xml:space="preserve">lawyers’ professional norms </w:t>
      </w:r>
      <w:r w:rsidRPr="00E82FC4">
        <w:t xml:space="preserve">further reinforce the autonomy of committees to decide how they weigh up and make use of evidence and information. </w:t>
      </w:r>
    </w:p>
    <w:p w14:paraId="7ED72F91" w14:textId="77777777" w:rsidR="00561809" w:rsidRDefault="00561809" w:rsidP="00691195">
      <w:pPr>
        <w:pStyle w:val="NoSpacing"/>
        <w:jc w:val="both"/>
        <w:rPr>
          <w:i/>
        </w:rPr>
      </w:pPr>
    </w:p>
    <w:p w14:paraId="21E9FB1D" w14:textId="1A73BC47" w:rsidR="00561809" w:rsidRDefault="0079387F" w:rsidP="00691195">
      <w:pPr>
        <w:pStyle w:val="NoSpacing"/>
        <w:jc w:val="both"/>
      </w:pPr>
      <w:r>
        <w:t>Interviewees acknowledged</w:t>
      </w:r>
      <w:r w:rsidR="00561809">
        <w:t xml:space="preserve"> that </w:t>
      </w:r>
      <w:r w:rsidR="00561809" w:rsidRPr="00B202C4">
        <w:t>transparency</w:t>
      </w:r>
      <w:r w:rsidR="00561809">
        <w:rPr>
          <w:i/>
        </w:rPr>
        <w:t xml:space="preserve"> </w:t>
      </w:r>
      <w:r w:rsidR="00561809">
        <w:t xml:space="preserve">might </w:t>
      </w:r>
      <w:r w:rsidR="00AC1D54">
        <w:t>require</w:t>
      </w:r>
      <w:r w:rsidR="00561809">
        <w:t xml:space="preserve"> the public disclosure of legal advice under certain circumstances. This turned on the significance of </w:t>
      </w:r>
      <w:r>
        <w:t>the</w:t>
      </w:r>
      <w:r w:rsidR="00561809">
        <w:t xml:space="preserve"> legal advice to a</w:t>
      </w:r>
      <w:r w:rsidR="00561809" w:rsidRPr="00E82FC4">
        <w:t xml:space="preserve"> committee’s work. </w:t>
      </w:r>
      <w:r w:rsidR="00561809">
        <w:t>Interviewees thought that c</w:t>
      </w:r>
      <w:r w:rsidR="00561809" w:rsidRPr="00E82FC4">
        <w:t>ommittees should be transparent in terms of what shaped their thinking</w:t>
      </w:r>
      <w:r>
        <w:t>:</w:t>
      </w:r>
      <w:r w:rsidR="00561809">
        <w:t xml:space="preserve"> </w:t>
      </w:r>
      <w:r>
        <w:t>t</w:t>
      </w:r>
      <w:r w:rsidR="00561809" w:rsidRPr="00E82FC4">
        <w:t>his could justify the publication of advice which, though initially given in confidence, had played a significant role</w:t>
      </w:r>
      <w:r w:rsidR="00561809">
        <w:t xml:space="preserve"> in their conclusions</w:t>
      </w:r>
      <w:r w:rsidR="00561809" w:rsidRPr="00E82FC4">
        <w:t>.</w:t>
      </w:r>
      <w:r w:rsidR="00561809">
        <w:t xml:space="preserve"> </w:t>
      </w:r>
      <w:r w:rsidR="00561809" w:rsidRPr="00E82FC4">
        <w:t xml:space="preserve">One peer explained that where a legal question is the ‘crucial issue’, there may be a need for the committee to ‘make clear the legal arguments …which </w:t>
      </w:r>
      <w:r w:rsidR="00561809">
        <w:t>we had found convincing’</w:t>
      </w:r>
      <w:r w:rsidR="00561809" w:rsidRPr="00E82FC4">
        <w:t>.</w:t>
      </w:r>
      <w:r w:rsidR="00561809">
        <w:rPr>
          <w:rStyle w:val="FootnoteReference"/>
        </w:rPr>
        <w:footnoteReference w:id="81"/>
      </w:r>
      <w:r w:rsidR="00561809" w:rsidRPr="00E82FC4">
        <w:t xml:space="preserve"> Under such circumstances, there was nothing ‘improper’</w:t>
      </w:r>
      <w:r w:rsidR="00561809">
        <w:rPr>
          <w:rStyle w:val="FootnoteReference"/>
        </w:rPr>
        <w:footnoteReference w:id="82"/>
      </w:r>
      <w:r w:rsidR="00561809" w:rsidRPr="00E82FC4">
        <w:t xml:space="preserve"> about a committee de</w:t>
      </w:r>
      <w:r w:rsidR="00561809">
        <w:t>ciding to publish advice</w:t>
      </w:r>
      <w:r w:rsidR="00561809" w:rsidRPr="00E82FC4">
        <w:t xml:space="preserve">. </w:t>
      </w:r>
      <w:r w:rsidR="00561809">
        <w:t>Clerks and lawyers agreed. One clerk suggested that ‘</w:t>
      </w:r>
      <w:r w:rsidR="00561809" w:rsidRPr="008F1C63">
        <w:t xml:space="preserve">if </w:t>
      </w:r>
      <w:r w:rsidR="00561809">
        <w:t xml:space="preserve">… </w:t>
      </w:r>
      <w:r w:rsidR="00561809" w:rsidRPr="008F1C63">
        <w:t>it’s something that’s really influenced the committee, the committee might decide to publish it to show why they make a particular recommendation</w:t>
      </w:r>
      <w:r w:rsidR="00561809">
        <w:t>’</w:t>
      </w:r>
      <w:r w:rsidR="00561809" w:rsidRPr="008F1C63">
        <w:t>.</w:t>
      </w:r>
      <w:r w:rsidR="00561809">
        <w:rPr>
          <w:rStyle w:val="FootnoteReference"/>
        </w:rPr>
        <w:footnoteReference w:id="83"/>
      </w:r>
      <w:r w:rsidR="00561809" w:rsidRPr="00573DEB">
        <w:t xml:space="preserve"> </w:t>
      </w:r>
      <w:r w:rsidR="00561809">
        <w:t>Similarly, a parliamentary lawyer indicated that they would not oppose the publication of legal advice where it had formed the basis of a ‘</w:t>
      </w:r>
      <w:r w:rsidR="00561809" w:rsidRPr="009E6CE5">
        <w:t>critical part</w:t>
      </w:r>
      <w:r w:rsidR="00561809">
        <w:t>’</w:t>
      </w:r>
      <w:r w:rsidR="00561809">
        <w:rPr>
          <w:rStyle w:val="FootnoteReference"/>
        </w:rPr>
        <w:footnoteReference w:id="84"/>
      </w:r>
      <w:r w:rsidR="00561809">
        <w:t xml:space="preserve"> of a</w:t>
      </w:r>
      <w:r w:rsidR="00561809" w:rsidRPr="009E6CE5">
        <w:t xml:space="preserve"> </w:t>
      </w:r>
      <w:r w:rsidR="00561809">
        <w:t xml:space="preserve">committee </w:t>
      </w:r>
      <w:r w:rsidR="00561809" w:rsidRPr="009E6CE5">
        <w:t>report.</w:t>
      </w:r>
      <w:r w:rsidR="00561809">
        <w:t xml:space="preserve"> </w:t>
      </w:r>
    </w:p>
    <w:p w14:paraId="28534E6B" w14:textId="77777777" w:rsidR="00561809" w:rsidRDefault="00561809" w:rsidP="00691195">
      <w:pPr>
        <w:pStyle w:val="NoSpacing"/>
        <w:jc w:val="both"/>
      </w:pPr>
    </w:p>
    <w:p w14:paraId="1EF43245" w14:textId="7B55062B" w:rsidR="00561809" w:rsidRDefault="00561809" w:rsidP="00691195">
      <w:pPr>
        <w:pStyle w:val="NoSpacing"/>
        <w:jc w:val="both"/>
      </w:pPr>
      <w:r w:rsidRPr="00E82FC4">
        <w:t>Conversely, intervi</w:t>
      </w:r>
      <w:r>
        <w:t xml:space="preserve">ewees saw no </w:t>
      </w:r>
      <w:r w:rsidR="0079387F">
        <w:t xml:space="preserve">point </w:t>
      </w:r>
      <w:r>
        <w:t xml:space="preserve">in publishing </w:t>
      </w:r>
      <w:r w:rsidRPr="00E82FC4">
        <w:t xml:space="preserve">advice </w:t>
      </w:r>
      <w:r>
        <w:t>which had little influence on a committee’s conclusions</w:t>
      </w:r>
      <w:r w:rsidRPr="00E82FC4">
        <w:t xml:space="preserve">. </w:t>
      </w:r>
      <w:r>
        <w:t>One peer argued that ‘…</w:t>
      </w:r>
      <w:r w:rsidRPr="00494D2E">
        <w:t xml:space="preserve">whether they should publish </w:t>
      </w:r>
      <w:r>
        <w:t xml:space="preserve">[advice] </w:t>
      </w:r>
      <w:r w:rsidRPr="00494D2E">
        <w:t>or not sometimes depends on whether they accept it or not</w:t>
      </w:r>
      <w:r>
        <w:t>’.</w:t>
      </w:r>
      <w:r>
        <w:rPr>
          <w:rStyle w:val="FootnoteReference"/>
        </w:rPr>
        <w:footnoteReference w:id="85"/>
      </w:r>
      <w:r>
        <w:t xml:space="preserve"> Likewise, a clerk suggested that ‘…</w:t>
      </w:r>
      <w:r w:rsidRPr="00A90D77">
        <w:t>legal advice is just that, it's advice. If the committee gets advice and it doesn't decide to follow it, what's the point of publishing it?</w:t>
      </w:r>
      <w:r>
        <w:t>’</w:t>
      </w:r>
      <w:r>
        <w:rPr>
          <w:rStyle w:val="FootnoteReference"/>
        </w:rPr>
        <w:footnoteReference w:id="86"/>
      </w:r>
      <w:r w:rsidR="00BE660F">
        <w:t xml:space="preserve"> </w:t>
      </w:r>
    </w:p>
    <w:p w14:paraId="679F95B7" w14:textId="77777777" w:rsidR="00561809" w:rsidRPr="00E82FC4" w:rsidRDefault="00561809" w:rsidP="00691195">
      <w:pPr>
        <w:pStyle w:val="NoSpacing"/>
        <w:jc w:val="both"/>
      </w:pPr>
    </w:p>
    <w:p w14:paraId="703F7B8C" w14:textId="73068062" w:rsidR="00561809" w:rsidRPr="007D2B8A" w:rsidRDefault="00A95B93" w:rsidP="007D2B8A">
      <w:pPr>
        <w:pStyle w:val="NoSpacing"/>
        <w:jc w:val="both"/>
        <w:rPr>
          <w:i/>
        </w:rPr>
      </w:pPr>
      <w:r w:rsidRPr="007D2B8A">
        <w:rPr>
          <w:i/>
        </w:rPr>
        <w:t>2</w:t>
      </w:r>
      <w:r w:rsidR="007D2B8A" w:rsidRPr="007D2B8A">
        <w:rPr>
          <w:i/>
        </w:rPr>
        <w:t>.</w:t>
      </w:r>
      <w:r w:rsidR="00561809" w:rsidRPr="007D2B8A">
        <w:rPr>
          <w:i/>
        </w:rPr>
        <w:t xml:space="preserve"> </w:t>
      </w:r>
      <w:r w:rsidR="0098144E" w:rsidRPr="007D2B8A">
        <w:rPr>
          <w:i/>
        </w:rPr>
        <w:t>Where actors diverge: tactics, stewardship and professional values</w:t>
      </w:r>
    </w:p>
    <w:p w14:paraId="750AA272" w14:textId="77777777" w:rsidR="00A95B93" w:rsidRDefault="00A95B93" w:rsidP="00691195">
      <w:pPr>
        <w:pStyle w:val="NoSpacing"/>
        <w:jc w:val="both"/>
      </w:pPr>
    </w:p>
    <w:p w14:paraId="4E73A38B" w14:textId="036A777E" w:rsidR="00561809" w:rsidRPr="004112AF" w:rsidRDefault="00561809" w:rsidP="00691195">
      <w:pPr>
        <w:pStyle w:val="NoSpacing"/>
        <w:jc w:val="both"/>
      </w:pPr>
      <w:r>
        <w:t xml:space="preserve">If there is </w:t>
      </w:r>
      <w:r w:rsidR="008D64F5">
        <w:t>agreement</w:t>
      </w:r>
      <w:r w:rsidR="00DE681A">
        <w:t xml:space="preserve"> or </w:t>
      </w:r>
      <w:r w:rsidRPr="008D64F5">
        <w:rPr>
          <w:i/>
        </w:rPr>
        <w:t>convergence</w:t>
      </w:r>
      <w:r w:rsidR="00DE681A">
        <w:t xml:space="preserve"> </w:t>
      </w:r>
      <w:r>
        <w:t xml:space="preserve">centred around </w:t>
      </w:r>
      <w:r w:rsidRPr="004112AF">
        <w:t>committee autonomy and transparency</w:t>
      </w:r>
      <w:r>
        <w:t xml:space="preserve">, why is </w:t>
      </w:r>
      <w:r w:rsidRPr="00E82FC4">
        <w:t xml:space="preserve">non-publication </w:t>
      </w:r>
      <w:r>
        <w:t xml:space="preserve">the norm at Westminster? It is partly because legal advice is mostly mundane, or, where relevant, weaved into committee reports. </w:t>
      </w:r>
      <w:r w:rsidR="0079387F">
        <w:t xml:space="preserve">But it </w:t>
      </w:r>
      <w:r>
        <w:t xml:space="preserve">is </w:t>
      </w:r>
      <w:r w:rsidRPr="00A74E0B">
        <w:t>also</w:t>
      </w:r>
      <w:r>
        <w:t xml:space="preserve"> because c</w:t>
      </w:r>
      <w:r w:rsidRPr="00E82FC4">
        <w:t>ommittees have</w:t>
      </w:r>
      <w:r>
        <w:t>,</w:t>
      </w:r>
      <w:r w:rsidRPr="00E82FC4">
        <w:t xml:space="preserve"> thus far</w:t>
      </w:r>
      <w:r>
        <w:t>,</w:t>
      </w:r>
      <w:r w:rsidRPr="00E82FC4">
        <w:t xml:space="preserve"> generally exercised their autonomy by </w:t>
      </w:r>
      <w:r w:rsidRPr="001E52F0">
        <w:t>refraining</w:t>
      </w:r>
      <w:r w:rsidRPr="00E82FC4">
        <w:t xml:space="preserve"> from publishing advice.</w:t>
      </w:r>
      <w:r>
        <w:t xml:space="preserve"> However, the</w:t>
      </w:r>
      <w:r w:rsidRPr="004112AF">
        <w:t xml:space="preserve"> prospect of</w:t>
      </w:r>
      <w:r w:rsidR="008931A8">
        <w:t xml:space="preserve"> committees pub</w:t>
      </w:r>
      <w:r w:rsidR="00467278">
        <w:t>lishing advice more frequently</w:t>
      </w:r>
      <w:r w:rsidR="008931A8">
        <w:t xml:space="preserve">, or a </w:t>
      </w:r>
      <w:r w:rsidR="000E5BCB">
        <w:t xml:space="preserve">move toward publication as the default, </w:t>
      </w:r>
      <w:r>
        <w:t xml:space="preserve">revealed a </w:t>
      </w:r>
      <w:r w:rsidRPr="001E52F0">
        <w:rPr>
          <w:i/>
        </w:rPr>
        <w:t>divergence</w:t>
      </w:r>
      <w:r>
        <w:t xml:space="preserve"> between parliamentarians</w:t>
      </w:r>
      <w:r w:rsidRPr="004112AF">
        <w:t xml:space="preserve"> on th</w:t>
      </w:r>
      <w:r>
        <w:t>e one hand</w:t>
      </w:r>
      <w:r w:rsidRPr="004112AF">
        <w:t xml:space="preserve"> and </w:t>
      </w:r>
      <w:r>
        <w:t>parliamentary staff</w:t>
      </w:r>
      <w:r w:rsidRPr="004112AF">
        <w:t xml:space="preserve"> on the other</w:t>
      </w:r>
      <w:r w:rsidR="00467278">
        <w:t>—stemming from their different roles</w:t>
      </w:r>
      <w:r w:rsidRPr="004112AF">
        <w:t xml:space="preserve">. </w:t>
      </w:r>
    </w:p>
    <w:p w14:paraId="4555E4BC" w14:textId="77777777" w:rsidR="00561809" w:rsidRDefault="00561809" w:rsidP="00691195">
      <w:pPr>
        <w:pStyle w:val="NoSpacing"/>
        <w:jc w:val="both"/>
        <w:rPr>
          <w:color w:val="FF0000"/>
        </w:rPr>
      </w:pPr>
    </w:p>
    <w:p w14:paraId="0B34E6F4" w14:textId="5FCD0FB3" w:rsidR="00561809" w:rsidRPr="003A4B21" w:rsidRDefault="00561809" w:rsidP="00691195">
      <w:pPr>
        <w:pStyle w:val="NoSpacing"/>
        <w:jc w:val="both"/>
        <w:rPr>
          <w:color w:val="FF0000"/>
        </w:rPr>
      </w:pPr>
      <w:r>
        <w:t>P</w:t>
      </w:r>
      <w:r w:rsidRPr="006B5391">
        <w:t xml:space="preserve">arliamentarians rarely showed concern about the implications of publication. Their considerations were primarily </w:t>
      </w:r>
      <w:r w:rsidRPr="006B5391">
        <w:rPr>
          <w:i/>
        </w:rPr>
        <w:t>tactical</w:t>
      </w:r>
      <w:r w:rsidRPr="006B5391">
        <w:t xml:space="preserve">, focusing on whether the published advice was likely </w:t>
      </w:r>
      <w:r w:rsidRPr="006B5391">
        <w:lastRenderedPageBreak/>
        <w:t xml:space="preserve">to enhance the influence of a committee report. </w:t>
      </w:r>
      <w:r>
        <w:t>By contrast, no</w:t>
      </w:r>
      <w:r w:rsidRPr="006B5391">
        <w:t xml:space="preserve"> clerk or lawyer interviewed was unequivocally open to the prospect of advice being published more regularly. </w:t>
      </w:r>
      <w:r>
        <w:t>A</w:t>
      </w:r>
      <w:r w:rsidRPr="006B5391">
        <w:t>ctors were guided by different</w:t>
      </w:r>
      <w:r>
        <w:t>,</w:t>
      </w:r>
      <w:r w:rsidRPr="006B5391">
        <w:t xml:space="preserve"> but often overlapping</w:t>
      </w:r>
      <w:r>
        <w:t>,</w:t>
      </w:r>
      <w:r w:rsidRPr="006B5391">
        <w:t xml:space="preserve"> sets of considerations</w:t>
      </w:r>
      <w:r w:rsidR="00DE681A">
        <w:t xml:space="preserve"> derived from their roles</w:t>
      </w:r>
      <w:r w:rsidRPr="006B5391">
        <w:t xml:space="preserve">. </w:t>
      </w:r>
      <w:r w:rsidR="00C967FA">
        <w:t>C</w:t>
      </w:r>
      <w:r w:rsidRPr="006B5391">
        <w:t xml:space="preserve">lerks expressed a variety of </w:t>
      </w:r>
      <w:r w:rsidRPr="006B5391">
        <w:rPr>
          <w:i/>
        </w:rPr>
        <w:t>institutional</w:t>
      </w:r>
      <w:r w:rsidRPr="006B5391">
        <w:t xml:space="preserve"> </w:t>
      </w:r>
      <w:r w:rsidR="008D64F5">
        <w:t xml:space="preserve">or </w:t>
      </w:r>
      <w:r w:rsidR="008D64F5" w:rsidRPr="00995295">
        <w:rPr>
          <w:i/>
        </w:rPr>
        <w:t>stewardship</w:t>
      </w:r>
      <w:r w:rsidR="008D64F5">
        <w:t xml:space="preserve"> </w:t>
      </w:r>
      <w:r w:rsidRPr="006B5391">
        <w:t>concerns over the potential ramifications of publishing advice based on their responsib</w:t>
      </w:r>
      <w:r>
        <w:t>ilities to the House as a whole.</w:t>
      </w:r>
      <w:r w:rsidR="00C967FA">
        <w:t xml:space="preserve"> P</w:t>
      </w:r>
      <w:r w:rsidRPr="006B5391">
        <w:t>arliamentary lawyers</w:t>
      </w:r>
      <w:r>
        <w:t xml:space="preserve">, on the other hand, </w:t>
      </w:r>
      <w:r w:rsidRPr="006B5391">
        <w:t xml:space="preserve">were primarily concerned with the </w:t>
      </w:r>
      <w:r w:rsidRPr="006B5391">
        <w:rPr>
          <w:i/>
        </w:rPr>
        <w:t>professional</w:t>
      </w:r>
      <w:r w:rsidRPr="006B5391">
        <w:t xml:space="preserve"> implications for</w:t>
      </w:r>
      <w:r>
        <w:t xml:space="preserve"> lawyer-client </w:t>
      </w:r>
      <w:r w:rsidRPr="006B5391">
        <w:t xml:space="preserve">relationships across the legislature. </w:t>
      </w:r>
    </w:p>
    <w:p w14:paraId="078CCC47" w14:textId="77777777" w:rsidR="00561809" w:rsidRDefault="00561809" w:rsidP="00691195">
      <w:pPr>
        <w:pStyle w:val="NoSpacing"/>
        <w:jc w:val="both"/>
      </w:pPr>
    </w:p>
    <w:p w14:paraId="3F8564A8" w14:textId="2BE5EE22" w:rsidR="00561809" w:rsidRPr="007D2B8A" w:rsidRDefault="007D2B8A" w:rsidP="007D2B8A">
      <w:pPr>
        <w:pStyle w:val="NoSpacing"/>
        <w:jc w:val="both"/>
        <w:rPr>
          <w:i/>
        </w:rPr>
      </w:pPr>
      <w:r w:rsidRPr="007D2B8A">
        <w:rPr>
          <w:i/>
        </w:rPr>
        <w:t>a</w:t>
      </w:r>
      <w:r w:rsidR="00561809" w:rsidRPr="007D2B8A">
        <w:rPr>
          <w:i/>
        </w:rPr>
        <w:t>. The tactical concerns of parliamentarians</w:t>
      </w:r>
    </w:p>
    <w:p w14:paraId="7ACF12A1" w14:textId="77777777" w:rsidR="00A95B93" w:rsidRPr="009A57C0" w:rsidRDefault="00A95B93" w:rsidP="00A95B93">
      <w:pPr>
        <w:pStyle w:val="NoSpacing"/>
        <w:jc w:val="center"/>
        <w:rPr>
          <w:i/>
        </w:rPr>
      </w:pPr>
    </w:p>
    <w:p w14:paraId="7B7368F4" w14:textId="44FC4A9C" w:rsidR="00561809" w:rsidRDefault="00561809" w:rsidP="00691195">
      <w:pPr>
        <w:pStyle w:val="NoSpacing"/>
        <w:jc w:val="both"/>
      </w:pPr>
      <w:r w:rsidRPr="00404C3E">
        <w:t xml:space="preserve">The key consideration for parliamentarians was </w:t>
      </w:r>
      <w:r w:rsidR="00FC5D1D" w:rsidRPr="00404C3E">
        <w:rPr>
          <w:i/>
        </w:rPr>
        <w:t>tactical</w:t>
      </w:r>
      <w:r w:rsidR="00FC5D1D" w:rsidRPr="00404C3E">
        <w:t xml:space="preserve">: </w:t>
      </w:r>
      <w:r w:rsidRPr="00404C3E">
        <w:t>whether the publication of legal advice was likely to enhance the influence of a committee report. Here, there was a mixture of views. One MP, for example, had ‘absolutely no doubt’ that they would publish legal advice if it supported their committee’s agenda; but</w:t>
      </w:r>
      <w:r w:rsidRPr="00404C3E">
        <w:rPr>
          <w:rStyle w:val="FootnoteReference"/>
        </w:rPr>
        <w:t xml:space="preserve"> </w:t>
      </w:r>
      <w:r w:rsidRPr="00404C3E">
        <w:t>they also insisted they would not publish the advice if they ‘didn’t believe it was credible’.</w:t>
      </w:r>
      <w:r w:rsidRPr="00404C3E">
        <w:rPr>
          <w:rStyle w:val="FootnoteReference"/>
        </w:rPr>
        <w:footnoteReference w:id="87"/>
      </w:r>
      <w:r w:rsidRPr="00404C3E">
        <w:t xml:space="preserve"> </w:t>
      </w:r>
      <w:r w:rsidR="00C967FA" w:rsidRPr="00404C3E">
        <w:t>One</w:t>
      </w:r>
      <w:r w:rsidRPr="00404C3E">
        <w:t xml:space="preserve"> peer saw a distinct advantage in publishing advice: issuing legal analysis ‘in the legal advisor’s own words’ could fortify a committee’s conclusions on legal issues, providing ‘authority to our report’.</w:t>
      </w:r>
      <w:r w:rsidRPr="00404C3E">
        <w:rPr>
          <w:rStyle w:val="FootnoteReference"/>
        </w:rPr>
        <w:footnoteReference w:id="88"/>
      </w:r>
      <w:r w:rsidRPr="00404C3E">
        <w:t xml:space="preserve">  Another MP argued that a committee report </w:t>
      </w:r>
      <w:r w:rsidR="001F1EA3" w:rsidRPr="00404C3E">
        <w:t>w</w:t>
      </w:r>
      <w:r w:rsidRPr="00404C3E">
        <w:t>ould be less influential if its content was too legalistic</w:t>
      </w:r>
      <w:r w:rsidR="00C967FA" w:rsidRPr="00404C3E">
        <w:t>:</w:t>
      </w:r>
      <w:r w:rsidRPr="00404C3E">
        <w:t xml:space="preserve"> ‘the ultimate product … is political rather than legal … not aimed at lawyers’, but ‘aimed principally at the House of Commons’.</w:t>
      </w:r>
      <w:r w:rsidRPr="00404C3E">
        <w:rPr>
          <w:rStyle w:val="FootnoteReference"/>
        </w:rPr>
        <w:footnoteReference w:id="89"/>
      </w:r>
      <w:r w:rsidRPr="00404C3E">
        <w:t xml:space="preserve"> </w:t>
      </w:r>
      <w:r w:rsidR="001F1EA3" w:rsidRPr="00404C3E">
        <w:t>The</w:t>
      </w:r>
      <w:r w:rsidRPr="00404C3E">
        <w:t xml:space="preserve"> underlying consideration was </w:t>
      </w:r>
      <w:r w:rsidR="00C967FA" w:rsidRPr="00404C3E">
        <w:t>influence</w:t>
      </w:r>
      <w:r w:rsidRPr="00404C3E">
        <w:t>. This echoes a recent report for the Parliamentary Office of Science and Technology on the use of research by parliamentarians, which observed that parliamentarians generally rely on research not only to support effective scrutiny, but to ‘enhance the credibility of arguments put forward’.</w:t>
      </w:r>
      <w:r w:rsidRPr="00404C3E">
        <w:rPr>
          <w:rStyle w:val="FootnoteReference"/>
        </w:rPr>
        <w:footnoteReference w:id="90"/>
      </w:r>
    </w:p>
    <w:p w14:paraId="158E5660" w14:textId="77777777" w:rsidR="00561809" w:rsidRPr="00E82FC4" w:rsidRDefault="00561809" w:rsidP="00691195">
      <w:pPr>
        <w:pStyle w:val="NoSpacing"/>
        <w:jc w:val="both"/>
      </w:pPr>
    </w:p>
    <w:p w14:paraId="10944C90" w14:textId="77777777" w:rsidR="00561809" w:rsidRDefault="00561809" w:rsidP="00691195">
      <w:pPr>
        <w:pStyle w:val="NoSpacing"/>
        <w:jc w:val="both"/>
      </w:pPr>
      <w:r>
        <w:t>Lawyers recognised t</w:t>
      </w:r>
      <w:r w:rsidRPr="00E82FC4">
        <w:t xml:space="preserve">he tactic of publishing advice to enhance committee influence. One </w:t>
      </w:r>
      <w:r>
        <w:t>suggested</w:t>
      </w:r>
      <w:r w:rsidRPr="00E82FC4">
        <w:t xml:space="preserve"> that it is a ‘deliberate step’ </w:t>
      </w:r>
      <w:r>
        <w:t>purporting</w:t>
      </w:r>
      <w:r w:rsidRPr="00E82FC4">
        <w:t xml:space="preserve"> to ‘add weig</w:t>
      </w:r>
      <w:r>
        <w:t>ht’ to a committee’s views</w:t>
      </w:r>
      <w:r w:rsidRPr="00E82FC4">
        <w:t>.</w:t>
      </w:r>
      <w:r>
        <w:rPr>
          <w:rStyle w:val="FootnoteReference"/>
        </w:rPr>
        <w:footnoteReference w:id="91"/>
      </w:r>
      <w:r w:rsidRPr="00E82FC4">
        <w:t xml:space="preserve"> Another lawyer suggested that</w:t>
      </w:r>
      <w:r>
        <w:t xml:space="preserve"> MPs were</w:t>
      </w:r>
      <w:r w:rsidRPr="00E82FC4">
        <w:t xml:space="preserve"> </w:t>
      </w:r>
      <w:r>
        <w:t>‘</w:t>
      </w:r>
      <w:r w:rsidRPr="00E82FC4">
        <w:t>much more interested in ... the immediate news value’,</w:t>
      </w:r>
      <w:r>
        <w:rPr>
          <w:rStyle w:val="FootnoteReference"/>
        </w:rPr>
        <w:footnoteReference w:id="92"/>
      </w:r>
      <w:r w:rsidRPr="00E82FC4">
        <w:t xml:space="preserve"> </w:t>
      </w:r>
      <w:r>
        <w:t xml:space="preserve">and so </w:t>
      </w:r>
      <w:r w:rsidRPr="00E82FC4">
        <w:t xml:space="preserve">legal advice might be used more opportunistically. </w:t>
      </w:r>
      <w:r>
        <w:t>P</w:t>
      </w:r>
      <w:r w:rsidRPr="00E82FC4">
        <w:t>ublishing legal advice might offer a ‘convenient’ way to gain a quick political advantage, ‘not in ... necessarily any sort of party, political sense, but, you know</w:t>
      </w:r>
      <w:r>
        <w:t>, to be seen to be acting’</w:t>
      </w:r>
      <w:r w:rsidRPr="00E82FC4">
        <w:t>.</w:t>
      </w:r>
      <w:r>
        <w:rPr>
          <w:rStyle w:val="FootnoteReference"/>
        </w:rPr>
        <w:footnoteReference w:id="93"/>
      </w:r>
      <w:r w:rsidRPr="00B97CDF">
        <w:t xml:space="preserve"> </w:t>
      </w:r>
    </w:p>
    <w:p w14:paraId="2449DFD2" w14:textId="77777777" w:rsidR="00561809" w:rsidRPr="00E82FC4" w:rsidRDefault="00561809" w:rsidP="00691195">
      <w:pPr>
        <w:pStyle w:val="NoSpacing"/>
        <w:jc w:val="both"/>
      </w:pPr>
    </w:p>
    <w:p w14:paraId="411C34E9" w14:textId="73C5A41F" w:rsidR="00561809" w:rsidRPr="00E82FC4" w:rsidRDefault="002B3D3A" w:rsidP="00691195">
      <w:pPr>
        <w:pStyle w:val="NoSpacing"/>
        <w:jc w:val="both"/>
        <w:rPr>
          <w:rFonts w:eastAsia="DengXian" w:cs="Arial"/>
          <w:color w:val="000000" w:themeColor="text1"/>
          <w:lang w:val="en-US"/>
        </w:rPr>
      </w:pPr>
      <w:r w:rsidRPr="00F8348D">
        <w:rPr>
          <w:color w:val="000000" w:themeColor="text1"/>
          <w:highlight w:val="yellow"/>
        </w:rPr>
        <w:t>Three</w:t>
      </w:r>
      <w:r w:rsidR="00561809" w:rsidRPr="007D6F23">
        <w:rPr>
          <w:color w:val="000000" w:themeColor="text1"/>
        </w:rPr>
        <w:t xml:space="preserve"> recent examples of legal advic</w:t>
      </w:r>
      <w:r w:rsidR="00561809" w:rsidRPr="00A14B84">
        <w:rPr>
          <w:color w:val="000000" w:themeColor="text1"/>
        </w:rPr>
        <w:t>e being published by select committees in Westminster exemplify tactical and transparency considerations in play. In terms of tactical</w:t>
      </w:r>
      <w:r w:rsidR="00561809" w:rsidRPr="007D6F23">
        <w:rPr>
          <w:color w:val="000000" w:themeColor="text1"/>
        </w:rPr>
        <w:t xml:space="preserve"> considerations, </w:t>
      </w:r>
      <w:r w:rsidR="00004560">
        <w:rPr>
          <w:rFonts w:eastAsia="DengXian" w:cs="Arial"/>
          <w:color w:val="000000" w:themeColor="text1"/>
          <w:lang w:val="en-US"/>
        </w:rPr>
        <w:t>the Chair of the EU S</w:t>
      </w:r>
      <w:r w:rsidR="00561809" w:rsidRPr="007D6F23">
        <w:rPr>
          <w:rFonts w:eastAsia="DengXian" w:cs="Arial"/>
          <w:color w:val="000000" w:themeColor="text1"/>
          <w:lang w:val="en-US"/>
        </w:rPr>
        <w:t>ub-Committee on Finance</w:t>
      </w:r>
      <w:r w:rsidR="003F75C7" w:rsidRPr="00A14B84">
        <w:rPr>
          <w:rFonts w:eastAsia="DengXian" w:cs="Arial"/>
          <w:color w:val="000000" w:themeColor="text1"/>
          <w:lang w:val="en-US"/>
        </w:rPr>
        <w:t xml:space="preserve">, Baroness Falkner, </w:t>
      </w:r>
      <w:r w:rsidR="00561809" w:rsidRPr="007D6F23">
        <w:rPr>
          <w:rFonts w:eastAsia="DengXian" w:cs="Arial"/>
          <w:color w:val="000000" w:themeColor="text1"/>
          <w:lang w:val="en-US"/>
        </w:rPr>
        <w:t xml:space="preserve">justified the decision to publish </w:t>
      </w:r>
      <w:r w:rsidR="00561809">
        <w:rPr>
          <w:rFonts w:eastAsia="DengXian" w:cs="Arial"/>
          <w:color w:val="000000" w:themeColor="text1"/>
          <w:lang w:val="en-US"/>
        </w:rPr>
        <w:t xml:space="preserve">legal </w:t>
      </w:r>
      <w:r w:rsidR="00561809" w:rsidRPr="00A14B84">
        <w:rPr>
          <w:rFonts w:eastAsia="DengXian" w:cs="Arial"/>
          <w:color w:val="000000" w:themeColor="text1"/>
          <w:lang w:val="en-US"/>
        </w:rPr>
        <w:t>advice</w:t>
      </w:r>
      <w:r w:rsidR="00255A21">
        <w:rPr>
          <w:rFonts w:eastAsia="DengXian" w:cs="Arial"/>
          <w:color w:val="000000" w:themeColor="text1"/>
          <w:lang w:val="en-US"/>
        </w:rPr>
        <w:t xml:space="preserve"> about the financial implications of Brexit</w:t>
      </w:r>
      <w:r w:rsidR="00561809" w:rsidRPr="00A14B84">
        <w:rPr>
          <w:rFonts w:eastAsia="DengXian" w:cs="Arial"/>
          <w:color w:val="000000" w:themeColor="text1"/>
          <w:lang w:val="en-US"/>
        </w:rPr>
        <w:t xml:space="preserve"> </w:t>
      </w:r>
      <w:r w:rsidR="00315017">
        <w:rPr>
          <w:rFonts w:eastAsia="DengXian" w:cs="Arial"/>
          <w:color w:val="000000" w:themeColor="text1"/>
          <w:lang w:val="en-US"/>
        </w:rPr>
        <w:t xml:space="preserve">in its report </w:t>
      </w:r>
      <w:r w:rsidR="00561809" w:rsidRPr="00A14B84">
        <w:rPr>
          <w:rFonts w:eastAsia="DengXian" w:cs="Arial"/>
          <w:color w:val="000000" w:themeColor="text1"/>
          <w:lang w:val="en-US"/>
        </w:rPr>
        <w:t>partly on the basis that the subject of the UK’s financial contributions to the EU was ‘highly contentious’,</w:t>
      </w:r>
      <w:r w:rsidR="00561809" w:rsidRPr="007D6F23">
        <w:rPr>
          <w:rFonts w:eastAsia="DengXian" w:cs="Arial"/>
          <w:color w:val="000000" w:themeColor="text1"/>
          <w:vertAlign w:val="superscript"/>
          <w:lang w:val="en-US"/>
        </w:rPr>
        <w:footnoteReference w:id="94"/>
      </w:r>
      <w:r w:rsidR="00561809" w:rsidRPr="007D6F23">
        <w:rPr>
          <w:rFonts w:eastAsia="DengXian" w:cs="Arial"/>
          <w:color w:val="000000" w:themeColor="text1"/>
          <w:lang w:val="en-US"/>
        </w:rPr>
        <w:t xml:space="preserve"> having ‘received a significant amount of attention in the press and </w:t>
      </w:r>
      <w:r w:rsidR="00561809" w:rsidRPr="007D6F23">
        <w:rPr>
          <w:rFonts w:eastAsia="DengXian" w:cs="Arial"/>
          <w:color w:val="000000" w:themeColor="text1"/>
          <w:lang w:val="en-US"/>
        </w:rPr>
        <w:lastRenderedPageBreak/>
        <w:t>elsewhere’.</w:t>
      </w:r>
      <w:r w:rsidR="00561809" w:rsidRPr="007D6F23">
        <w:rPr>
          <w:rFonts w:eastAsia="DengXian" w:cs="Arial"/>
          <w:color w:val="000000" w:themeColor="text1"/>
          <w:vertAlign w:val="superscript"/>
          <w:lang w:val="en-US"/>
        </w:rPr>
        <w:footnoteReference w:id="95"/>
      </w:r>
      <w:r w:rsidR="00561809" w:rsidRPr="007D6F23">
        <w:rPr>
          <w:rFonts w:eastAsia="DengXian" w:cs="Arial"/>
          <w:color w:val="000000" w:themeColor="text1"/>
          <w:lang w:val="en-US"/>
        </w:rPr>
        <w:t xml:space="preserve"> </w:t>
      </w:r>
      <w:r w:rsidR="00C967FA">
        <w:rPr>
          <w:rFonts w:eastAsia="DengXian" w:cs="Arial"/>
          <w:color w:val="000000" w:themeColor="text1"/>
          <w:lang w:val="en-US"/>
        </w:rPr>
        <w:t>The</w:t>
      </w:r>
      <w:r w:rsidR="00561809" w:rsidRPr="007D6F23">
        <w:rPr>
          <w:rFonts w:eastAsia="DengXian" w:cs="Arial"/>
          <w:color w:val="000000" w:themeColor="text1"/>
          <w:lang w:val="en-US"/>
        </w:rPr>
        <w:t xml:space="preserve"> Committee was eager to fortify its position on a very controversial issue.</w:t>
      </w:r>
      <w:r w:rsidR="00561809" w:rsidRPr="00A14B84">
        <w:rPr>
          <w:color w:val="000000" w:themeColor="text1"/>
        </w:rPr>
        <w:t xml:space="preserve"> Transparency considerations were also evident: the Committee </w:t>
      </w:r>
      <w:r w:rsidR="00561809" w:rsidRPr="007D6F23">
        <w:rPr>
          <w:rFonts w:eastAsia="DengXian" w:cs="Calibri"/>
          <w:color w:val="000000" w:themeColor="text1"/>
          <w:lang w:val="en-US"/>
        </w:rPr>
        <w:t>acknowledged in its report that its legal assessment drew ‘heavily’</w:t>
      </w:r>
      <w:r w:rsidR="00561809" w:rsidRPr="007D6F23">
        <w:rPr>
          <w:rFonts w:eastAsia="DengXian" w:cs="Calibri"/>
          <w:color w:val="000000" w:themeColor="text1"/>
          <w:vertAlign w:val="superscript"/>
          <w:lang w:val="en-US"/>
        </w:rPr>
        <w:footnoteReference w:id="96"/>
      </w:r>
      <w:r w:rsidR="00561809" w:rsidRPr="007D6F23">
        <w:rPr>
          <w:rFonts w:eastAsia="DengXian" w:cs="Calibri"/>
          <w:color w:val="000000" w:themeColor="text1"/>
          <w:lang w:val="en-US"/>
        </w:rPr>
        <w:t xml:space="preserve"> on the in-house legal advice, </w:t>
      </w:r>
      <w:r w:rsidR="00561809" w:rsidRPr="00A14B84">
        <w:rPr>
          <w:rFonts w:eastAsia="DengXian" w:cs="Arial"/>
          <w:color w:val="000000" w:themeColor="text1"/>
          <w:lang w:val="en-US"/>
        </w:rPr>
        <w:t>and the Chair</w:t>
      </w:r>
      <w:r w:rsidR="00062616">
        <w:rPr>
          <w:rFonts w:eastAsia="DengXian" w:cs="Arial"/>
          <w:color w:val="000000" w:themeColor="text1"/>
          <w:lang w:val="en-US"/>
        </w:rPr>
        <w:t xml:space="preserve"> </w:t>
      </w:r>
      <w:r w:rsidR="00561809" w:rsidRPr="00A14B84">
        <w:rPr>
          <w:rFonts w:eastAsia="DengXian" w:cs="Arial"/>
          <w:color w:val="000000" w:themeColor="text1"/>
          <w:lang w:val="en-US"/>
        </w:rPr>
        <w:t>explained that the Committee decided to publish the advice in full ‘so that all could see the analysis behind our judgment’.</w:t>
      </w:r>
      <w:r w:rsidR="00561809" w:rsidRPr="007D6F23">
        <w:rPr>
          <w:rFonts w:eastAsia="DengXian" w:cs="Arial"/>
          <w:color w:val="000000" w:themeColor="text1"/>
          <w:vertAlign w:val="superscript"/>
          <w:lang w:val="en-US"/>
        </w:rPr>
        <w:footnoteReference w:id="97"/>
      </w:r>
      <w:r w:rsidR="00561809" w:rsidRPr="00E82FC4">
        <w:rPr>
          <w:rFonts w:eastAsia="DengXian" w:cs="Arial"/>
          <w:color w:val="000000" w:themeColor="text1"/>
          <w:lang w:val="en-US"/>
        </w:rPr>
        <w:t xml:space="preserve"> </w:t>
      </w:r>
    </w:p>
    <w:p w14:paraId="05439490" w14:textId="77777777" w:rsidR="00315017" w:rsidRPr="00E82FC4" w:rsidRDefault="00315017" w:rsidP="00691195">
      <w:pPr>
        <w:pStyle w:val="NoSpacing"/>
        <w:jc w:val="both"/>
        <w:rPr>
          <w:rFonts w:eastAsia="DengXian" w:cs="Arial"/>
          <w:color w:val="000000" w:themeColor="text1"/>
        </w:rPr>
      </w:pPr>
    </w:p>
    <w:p w14:paraId="4E45E3CC" w14:textId="7988BF94" w:rsidR="00561809" w:rsidRPr="0024103F" w:rsidRDefault="00C967FA" w:rsidP="00691195">
      <w:pPr>
        <w:pStyle w:val="NoSpacing"/>
        <w:jc w:val="both"/>
        <w:rPr>
          <w:rFonts w:eastAsia="DengXian" w:cs="Arial"/>
          <w:color w:val="000000" w:themeColor="text1"/>
        </w:rPr>
      </w:pPr>
      <w:r>
        <w:rPr>
          <w:color w:val="000000" w:themeColor="text1"/>
        </w:rPr>
        <w:t>T</w:t>
      </w:r>
      <w:r w:rsidR="00561809" w:rsidRPr="00315017">
        <w:rPr>
          <w:color w:val="000000" w:themeColor="text1"/>
        </w:rPr>
        <w:t xml:space="preserve">actical and transparency considerations were also apparent in the </w:t>
      </w:r>
      <w:r w:rsidR="00315017" w:rsidRPr="00315017">
        <w:rPr>
          <w:rFonts w:ascii="Calibri" w:eastAsia="Times New Roman" w:hAnsi="Calibri" w:cs="Times New Roman"/>
          <w:color w:val="000000"/>
        </w:rPr>
        <w:t xml:space="preserve">House of Commons Public Administration and Constitutional Affairs Committee </w:t>
      </w:r>
      <w:r w:rsidR="00315017">
        <w:rPr>
          <w:rFonts w:ascii="Calibri" w:eastAsia="Times New Roman" w:hAnsi="Calibri" w:cs="Times New Roman"/>
          <w:color w:val="000000"/>
        </w:rPr>
        <w:t>(</w:t>
      </w:r>
      <w:r w:rsidR="00561809" w:rsidRPr="00315017">
        <w:rPr>
          <w:rFonts w:eastAsia="DengXian" w:cs="Arial"/>
          <w:color w:val="000000" w:themeColor="text1"/>
          <w:lang w:val="en-US"/>
        </w:rPr>
        <w:t>PACAC</w:t>
      </w:r>
      <w:r w:rsidR="00315017">
        <w:rPr>
          <w:rFonts w:eastAsia="DengXian" w:cs="Arial"/>
          <w:color w:val="000000" w:themeColor="text1"/>
          <w:lang w:val="en-US"/>
        </w:rPr>
        <w:t>)</w:t>
      </w:r>
      <w:r w:rsidR="00561809" w:rsidRPr="00315017">
        <w:rPr>
          <w:rFonts w:eastAsia="DengXian" w:cs="Arial"/>
          <w:color w:val="000000" w:themeColor="text1"/>
          <w:lang w:val="en-US"/>
        </w:rPr>
        <w:t xml:space="preserve"> report</w:t>
      </w:r>
      <w:r>
        <w:rPr>
          <w:rFonts w:eastAsia="DengXian" w:cs="Arial"/>
          <w:color w:val="000000" w:themeColor="text1"/>
          <w:lang w:val="en-US"/>
        </w:rPr>
        <w:t>,</w:t>
      </w:r>
      <w:r w:rsidR="00561809" w:rsidRPr="00315017">
        <w:rPr>
          <w:rFonts w:eastAsia="DengXian" w:cs="Arial"/>
          <w:color w:val="000000" w:themeColor="text1"/>
          <w:lang w:val="en-US"/>
        </w:rPr>
        <w:t xml:space="preserve"> </w:t>
      </w:r>
      <w:r w:rsidR="0024103F" w:rsidRPr="0024103F">
        <w:rPr>
          <w:rFonts w:eastAsia="DengXian" w:cs="Arial"/>
          <w:i/>
          <w:color w:val="000000" w:themeColor="text1"/>
          <w:lang w:val="en-US"/>
        </w:rPr>
        <w:t>Lessons learned from the</w:t>
      </w:r>
      <w:r w:rsidR="00561809" w:rsidRPr="0024103F">
        <w:rPr>
          <w:rFonts w:eastAsia="DengXian" w:cs="Arial"/>
          <w:i/>
          <w:color w:val="000000" w:themeColor="text1"/>
          <w:lang w:val="en-US"/>
        </w:rPr>
        <w:t xml:space="preserve"> EU referendum</w:t>
      </w:r>
      <w:r w:rsidR="00561809" w:rsidRPr="00315017">
        <w:rPr>
          <w:rFonts w:eastAsia="DengXian" w:cs="Arial"/>
          <w:color w:val="000000" w:themeColor="text1"/>
          <w:lang w:val="en-US"/>
        </w:rPr>
        <w:t>.</w:t>
      </w:r>
      <w:r w:rsidR="00315017" w:rsidRPr="00315017">
        <w:rPr>
          <w:rStyle w:val="FootnoteReference"/>
          <w:rFonts w:eastAsia="DengXian" w:cs="Arial"/>
          <w:color w:val="000000" w:themeColor="text1"/>
          <w:lang w:val="en-US"/>
        </w:rPr>
        <w:footnoteReference w:id="98"/>
      </w:r>
      <w:r w:rsidR="00561809" w:rsidRPr="00315017">
        <w:rPr>
          <w:rFonts w:eastAsia="DengXian" w:cs="Arial"/>
          <w:color w:val="000000" w:themeColor="text1"/>
          <w:lang w:val="en-US"/>
        </w:rPr>
        <w:t xml:space="preserve"> </w:t>
      </w:r>
      <w:r w:rsidR="0024103F">
        <w:rPr>
          <w:rFonts w:eastAsia="DengXian" w:cs="Arial"/>
          <w:color w:val="000000" w:themeColor="text1"/>
        </w:rPr>
        <w:t>This report included</w:t>
      </w:r>
      <w:r w:rsidR="0024103F" w:rsidRPr="00315017">
        <w:rPr>
          <w:rFonts w:eastAsia="DengXian" w:cs="Arial"/>
          <w:color w:val="000000" w:themeColor="text1"/>
        </w:rPr>
        <w:t xml:space="preserve"> five pieces of written legal advice from then Speaker’s Counsel, Michael Carpenter, on three separate legal questions which arose during the course of the Committee’s inquiry. These were published</w:t>
      </w:r>
      <w:r w:rsidR="000617B4">
        <w:rPr>
          <w:rFonts w:eastAsia="DengXian" w:cs="Arial"/>
          <w:color w:val="000000" w:themeColor="text1"/>
        </w:rPr>
        <w:t xml:space="preserve"> online</w:t>
      </w:r>
      <w:r w:rsidR="0024103F" w:rsidRPr="00315017">
        <w:rPr>
          <w:rFonts w:eastAsia="DengXian" w:cs="Arial"/>
          <w:color w:val="000000" w:themeColor="text1"/>
        </w:rPr>
        <w:t xml:space="preserve"> in the months immediately prior to the 2016 referendum.</w:t>
      </w:r>
      <w:r w:rsidR="0024103F">
        <w:rPr>
          <w:rFonts w:eastAsia="DengXian" w:cs="Arial"/>
          <w:color w:val="000000" w:themeColor="text1"/>
        </w:rPr>
        <w:t xml:space="preserve"> </w:t>
      </w:r>
      <w:r w:rsidR="00561809" w:rsidRPr="00315017">
        <w:rPr>
          <w:color w:val="000000" w:themeColor="text1"/>
          <w:lang w:val="en-US"/>
        </w:rPr>
        <w:t>At the tactical level</w:t>
      </w:r>
      <w:r w:rsidR="00561809" w:rsidRPr="00315017">
        <w:rPr>
          <w:color w:val="000000" w:themeColor="text1"/>
        </w:rPr>
        <w:t xml:space="preserve">, it is worth noting that the PACAC </w:t>
      </w:r>
      <w:r w:rsidR="00561809" w:rsidRPr="00315017">
        <w:rPr>
          <w:rFonts w:eastAsia="DengXian" w:cs="Arial"/>
          <w:color w:val="000000" w:themeColor="text1"/>
          <w:lang w:val="en-US"/>
        </w:rPr>
        <w:t>chair, Bernard Jenkin, has long been a proponent of leaving the EU.</w:t>
      </w:r>
      <w:r w:rsidR="00561809" w:rsidRPr="00315017">
        <w:rPr>
          <w:rFonts w:eastAsia="DengXian" w:cs="Arial"/>
          <w:color w:val="000000" w:themeColor="text1"/>
          <w:vertAlign w:val="superscript"/>
          <w:lang w:val="en-US"/>
        </w:rPr>
        <w:footnoteReference w:id="99"/>
      </w:r>
      <w:r w:rsidR="00561809" w:rsidRPr="00315017">
        <w:rPr>
          <w:rFonts w:eastAsia="DengXian" w:cs="Arial"/>
          <w:color w:val="000000" w:themeColor="text1"/>
          <w:lang w:val="en-US"/>
        </w:rPr>
        <w:t xml:space="preserve"> The Committee’s use and publication of legal advice during this inquiry could be seen as a political act to level the playing field in </w:t>
      </w:r>
      <w:proofErr w:type="spellStart"/>
      <w:r w:rsidR="00561809" w:rsidRPr="00315017">
        <w:rPr>
          <w:rFonts w:eastAsia="DengXian" w:cs="Arial"/>
          <w:color w:val="000000" w:themeColor="text1"/>
          <w:lang w:val="en-US"/>
        </w:rPr>
        <w:t>favour</w:t>
      </w:r>
      <w:proofErr w:type="spellEnd"/>
      <w:r w:rsidR="00561809" w:rsidRPr="00315017">
        <w:rPr>
          <w:rFonts w:eastAsia="DengXian" w:cs="Arial"/>
          <w:color w:val="000000" w:themeColor="text1"/>
          <w:lang w:val="en-US"/>
        </w:rPr>
        <w:t xml:space="preserve"> of </w:t>
      </w:r>
      <w:proofErr w:type="spellStart"/>
      <w:r w:rsidR="00561809" w:rsidRPr="00315017">
        <w:rPr>
          <w:rFonts w:eastAsia="DengXian" w:cs="Arial"/>
          <w:color w:val="000000" w:themeColor="text1"/>
          <w:lang w:val="en-US"/>
        </w:rPr>
        <w:t>Eurosceptics</w:t>
      </w:r>
      <w:proofErr w:type="spellEnd"/>
      <w:r w:rsidR="00561809" w:rsidRPr="00315017">
        <w:rPr>
          <w:rFonts w:eastAsia="DengXian" w:cs="Arial"/>
          <w:color w:val="000000" w:themeColor="text1"/>
          <w:lang w:val="en-US"/>
        </w:rPr>
        <w:t>, particularly given the relatively pro-European stance of the Prime Minister, key members of his party and the Bank of England. Transparency considerations were also present. The Committee argued</w:t>
      </w:r>
      <w:r w:rsidR="0024103F">
        <w:rPr>
          <w:rFonts w:eastAsia="DengXian" w:cs="Arial"/>
          <w:color w:val="000000" w:themeColor="text1"/>
          <w:lang w:val="en-US"/>
        </w:rPr>
        <w:t>, for instance,</w:t>
      </w:r>
      <w:r w:rsidR="00561809" w:rsidRPr="00315017">
        <w:rPr>
          <w:rFonts w:eastAsia="DengXian" w:cs="Arial"/>
          <w:color w:val="000000" w:themeColor="text1"/>
          <w:lang w:val="en-US"/>
        </w:rPr>
        <w:t xml:space="preserve"> that publishing the legal advice of Speaker’s Counsel was necessary</w:t>
      </w:r>
      <w:r w:rsidR="000617B4">
        <w:rPr>
          <w:rFonts w:eastAsia="DengXian" w:cs="Arial"/>
          <w:color w:val="000000" w:themeColor="text1"/>
          <w:lang w:val="en-US"/>
        </w:rPr>
        <w:t>,</w:t>
      </w:r>
      <w:r w:rsidR="00561809" w:rsidRPr="00315017">
        <w:rPr>
          <w:rFonts w:eastAsia="DengXian" w:cs="Arial"/>
          <w:color w:val="000000" w:themeColor="text1"/>
          <w:lang w:val="en-US"/>
        </w:rPr>
        <w:t xml:space="preserve"> given the ‘significant difference of opinion’</w:t>
      </w:r>
      <w:r w:rsidR="00561809" w:rsidRPr="00315017">
        <w:rPr>
          <w:rFonts w:eastAsia="DengXian" w:cs="Arial"/>
          <w:color w:val="000000" w:themeColor="text1"/>
          <w:vertAlign w:val="superscript"/>
          <w:lang w:val="en-US"/>
        </w:rPr>
        <w:footnoteReference w:id="100"/>
      </w:r>
      <w:r w:rsidR="00561809" w:rsidRPr="00315017">
        <w:rPr>
          <w:rFonts w:eastAsia="DengXian" w:cs="Arial"/>
          <w:color w:val="000000" w:themeColor="text1"/>
          <w:lang w:val="en-US"/>
        </w:rPr>
        <w:t xml:space="preserve"> which had surfaced between the Committee, the Government and the Electoral Commission in relation to the interpretation </w:t>
      </w:r>
      <w:r w:rsidR="0024103F">
        <w:rPr>
          <w:rFonts w:eastAsia="DengXian" w:cs="Arial"/>
          <w:color w:val="000000" w:themeColor="text1"/>
          <w:lang w:val="en-US"/>
        </w:rPr>
        <w:t>of particular provisions of the</w:t>
      </w:r>
      <w:r w:rsidR="00561809" w:rsidRPr="00315017">
        <w:rPr>
          <w:rFonts w:eastAsia="DengXian" w:cs="Arial"/>
          <w:color w:val="000000" w:themeColor="text1"/>
          <w:lang w:val="en-US"/>
        </w:rPr>
        <w:t xml:space="preserve"> </w:t>
      </w:r>
      <w:r w:rsidR="0024103F" w:rsidRPr="0024103F">
        <w:rPr>
          <w:rFonts w:eastAsia="DengXian" w:cs="Arial"/>
          <w:color w:val="000000" w:themeColor="text1"/>
          <w:lang w:val="en-US"/>
        </w:rPr>
        <w:t>Political Parties, Elections and Referendums Act 2000</w:t>
      </w:r>
      <w:r w:rsidR="00561809" w:rsidRPr="00315017">
        <w:rPr>
          <w:rFonts w:eastAsia="DengXian" w:cs="Arial"/>
          <w:color w:val="000000" w:themeColor="text1"/>
          <w:lang w:val="en-US"/>
        </w:rPr>
        <w:t xml:space="preserve">. </w:t>
      </w:r>
    </w:p>
    <w:p w14:paraId="6A40F621" w14:textId="31252F8F" w:rsidR="00561809" w:rsidRDefault="00561809" w:rsidP="00691195">
      <w:pPr>
        <w:pStyle w:val="NoSpacing"/>
        <w:jc w:val="both"/>
      </w:pPr>
    </w:p>
    <w:p w14:paraId="1441455F" w14:textId="1F297D4B" w:rsidR="00F8348D" w:rsidRDefault="00404C3E" w:rsidP="00691195">
      <w:pPr>
        <w:pStyle w:val="NoSpacing"/>
        <w:jc w:val="both"/>
      </w:pPr>
      <w:r w:rsidRPr="002B3D3A">
        <w:rPr>
          <w:highlight w:val="yellow"/>
        </w:rPr>
        <w:t xml:space="preserve">A final example is </w:t>
      </w:r>
      <w:r w:rsidR="00890A48">
        <w:rPr>
          <w:highlight w:val="yellow"/>
        </w:rPr>
        <w:t>the</w:t>
      </w:r>
      <w:r w:rsidRPr="002B3D3A">
        <w:rPr>
          <w:highlight w:val="yellow"/>
        </w:rPr>
        <w:t xml:space="preserve"> recent </w:t>
      </w:r>
      <w:r w:rsidR="00914EFB">
        <w:rPr>
          <w:highlight w:val="yellow"/>
        </w:rPr>
        <w:t xml:space="preserve">2017 </w:t>
      </w:r>
      <w:r w:rsidRPr="002B3D3A">
        <w:rPr>
          <w:highlight w:val="yellow"/>
        </w:rPr>
        <w:t>report of the Lords Speaker’s Committee on the Size of the House</w:t>
      </w:r>
      <w:r w:rsidR="002B3D3A" w:rsidRPr="002B3D3A">
        <w:rPr>
          <w:highlight w:val="yellow"/>
        </w:rPr>
        <w:t>,</w:t>
      </w:r>
      <w:r w:rsidRPr="002B3D3A">
        <w:rPr>
          <w:rStyle w:val="FootnoteReference"/>
          <w:highlight w:val="yellow"/>
        </w:rPr>
        <w:footnoteReference w:id="101"/>
      </w:r>
      <w:r w:rsidRPr="002B3D3A">
        <w:rPr>
          <w:highlight w:val="yellow"/>
        </w:rPr>
        <w:t xml:space="preserve"> </w:t>
      </w:r>
      <w:r w:rsidR="002B3D3A" w:rsidRPr="002B3D3A">
        <w:rPr>
          <w:highlight w:val="yellow"/>
        </w:rPr>
        <w:t xml:space="preserve">tasked with finding </w:t>
      </w:r>
      <w:r w:rsidR="002B3D3A">
        <w:rPr>
          <w:highlight w:val="yellow"/>
        </w:rPr>
        <w:t>a</w:t>
      </w:r>
      <w:r w:rsidR="00F8348D">
        <w:rPr>
          <w:highlight w:val="yellow"/>
        </w:rPr>
        <w:t xml:space="preserve"> practically viable</w:t>
      </w:r>
      <w:r w:rsidR="00CE164C">
        <w:rPr>
          <w:highlight w:val="yellow"/>
        </w:rPr>
        <w:t>, non-legislative</w:t>
      </w:r>
      <w:r w:rsidR="00F8348D">
        <w:rPr>
          <w:highlight w:val="yellow"/>
        </w:rPr>
        <w:t xml:space="preserve"> </w:t>
      </w:r>
      <w:r w:rsidR="002B3D3A" w:rsidRPr="002B3D3A">
        <w:rPr>
          <w:highlight w:val="yellow"/>
        </w:rPr>
        <w:t xml:space="preserve">means to reduce the </w:t>
      </w:r>
      <w:r w:rsidR="00890A48">
        <w:rPr>
          <w:highlight w:val="yellow"/>
        </w:rPr>
        <w:t>membership</w:t>
      </w:r>
      <w:r w:rsidR="002B3D3A" w:rsidRPr="002B3D3A">
        <w:rPr>
          <w:highlight w:val="yellow"/>
        </w:rPr>
        <w:t xml:space="preserve"> of the </w:t>
      </w:r>
      <w:r w:rsidR="00890A48">
        <w:rPr>
          <w:highlight w:val="yellow"/>
        </w:rPr>
        <w:t>Lords</w:t>
      </w:r>
      <w:r w:rsidR="002B3D3A">
        <w:rPr>
          <w:highlight w:val="yellow"/>
        </w:rPr>
        <w:t>.</w:t>
      </w:r>
      <w:r w:rsidR="002B3D3A" w:rsidRPr="002B3D3A">
        <w:rPr>
          <w:highlight w:val="yellow"/>
        </w:rPr>
        <w:t xml:space="preserve"> </w:t>
      </w:r>
      <w:r w:rsidR="00812CB6" w:rsidRPr="002B3D3A">
        <w:rPr>
          <w:highlight w:val="yellow"/>
        </w:rPr>
        <w:t xml:space="preserve">Here, </w:t>
      </w:r>
      <w:r w:rsidR="002B3D3A" w:rsidRPr="002B3D3A">
        <w:rPr>
          <w:highlight w:val="yellow"/>
        </w:rPr>
        <w:t xml:space="preserve">the </w:t>
      </w:r>
      <w:r w:rsidR="00812CB6" w:rsidRPr="002B3D3A">
        <w:rPr>
          <w:highlight w:val="yellow"/>
        </w:rPr>
        <w:t xml:space="preserve">legal advice from the Counsel to the Chairman of Committees </w:t>
      </w:r>
      <w:r w:rsidR="002B3D3A" w:rsidRPr="002B3D3A">
        <w:rPr>
          <w:highlight w:val="yellow"/>
        </w:rPr>
        <w:t>(</w:t>
      </w:r>
      <w:r w:rsidR="00812CB6" w:rsidRPr="002B3D3A">
        <w:rPr>
          <w:highlight w:val="yellow"/>
        </w:rPr>
        <w:t>added in an appendix</w:t>
      </w:r>
      <w:r w:rsidR="002B3D3A" w:rsidRPr="002B3D3A">
        <w:rPr>
          <w:highlight w:val="yellow"/>
        </w:rPr>
        <w:t xml:space="preserve">) was deployed for a tactical purpose. The advice was used to bolster the attractiveness </w:t>
      </w:r>
      <w:r w:rsidR="002B3D3A" w:rsidRPr="00890A48">
        <w:rPr>
          <w:highlight w:val="yellow"/>
        </w:rPr>
        <w:t>of the specific means proposed by the Committee</w:t>
      </w:r>
      <w:r w:rsidR="00547A41" w:rsidRPr="00890A48">
        <w:rPr>
          <w:highlight w:val="yellow"/>
        </w:rPr>
        <w:t xml:space="preserve"> (</w:t>
      </w:r>
      <w:r w:rsidR="00712DE5">
        <w:rPr>
          <w:highlight w:val="yellow"/>
        </w:rPr>
        <w:t>requiring new members to make an undertaking to serve for 15 years only</w:t>
      </w:r>
      <w:r w:rsidR="00547A41" w:rsidRPr="00890A48">
        <w:rPr>
          <w:highlight w:val="yellow"/>
        </w:rPr>
        <w:t>) as legally and constitutionally sound</w:t>
      </w:r>
      <w:r w:rsidR="002B3D3A" w:rsidRPr="00890A48">
        <w:rPr>
          <w:highlight w:val="yellow"/>
        </w:rPr>
        <w:t>.</w:t>
      </w:r>
      <w:r w:rsidR="00547A41" w:rsidRPr="00890A48">
        <w:rPr>
          <w:rStyle w:val="FootnoteReference"/>
          <w:highlight w:val="yellow"/>
        </w:rPr>
        <w:footnoteReference w:id="102"/>
      </w:r>
      <w:r w:rsidR="002B3D3A" w:rsidRPr="00890A48">
        <w:rPr>
          <w:highlight w:val="yellow"/>
        </w:rPr>
        <w:t xml:space="preserve"> </w:t>
      </w:r>
      <w:r w:rsidR="00F8348D" w:rsidRPr="00890A48">
        <w:rPr>
          <w:highlight w:val="yellow"/>
        </w:rPr>
        <w:t>Indeed, the Committee</w:t>
      </w:r>
      <w:r w:rsidR="00947D74">
        <w:rPr>
          <w:highlight w:val="yellow"/>
        </w:rPr>
        <w:t xml:space="preserve"> chair</w:t>
      </w:r>
      <w:r w:rsidR="00F8348D" w:rsidRPr="00890A48">
        <w:rPr>
          <w:highlight w:val="yellow"/>
        </w:rPr>
        <w:t xml:space="preserve">, Lord Burns, argued </w:t>
      </w:r>
      <w:r w:rsidR="00890A48" w:rsidRPr="00890A48">
        <w:rPr>
          <w:highlight w:val="yellow"/>
        </w:rPr>
        <w:t xml:space="preserve">in the debate on the report </w:t>
      </w:r>
      <w:r w:rsidR="00F8348D" w:rsidRPr="00890A48">
        <w:rPr>
          <w:highlight w:val="yellow"/>
        </w:rPr>
        <w:t xml:space="preserve">that </w:t>
      </w:r>
      <w:r w:rsidR="00890A48">
        <w:rPr>
          <w:highlight w:val="yellow"/>
        </w:rPr>
        <w:t xml:space="preserve">the </w:t>
      </w:r>
      <w:r w:rsidR="00914EFB">
        <w:rPr>
          <w:highlight w:val="yellow"/>
        </w:rPr>
        <w:t xml:space="preserve">Committee </w:t>
      </w:r>
      <w:r w:rsidR="00490470">
        <w:rPr>
          <w:highlight w:val="yellow"/>
        </w:rPr>
        <w:t>had had ‘</w:t>
      </w:r>
      <w:r w:rsidR="00490470" w:rsidRPr="00890A48">
        <w:rPr>
          <w:highlight w:val="yellow"/>
        </w:rPr>
        <w:t>robust legal advice that the House has the powers to enforce the undertaking to retire.’</w:t>
      </w:r>
      <w:r w:rsidR="00890A48" w:rsidRPr="00890A48">
        <w:rPr>
          <w:rStyle w:val="FootnoteReference"/>
          <w:highlight w:val="yellow"/>
        </w:rPr>
        <w:footnoteReference w:id="103"/>
      </w:r>
    </w:p>
    <w:p w14:paraId="06A86FF2" w14:textId="77777777" w:rsidR="00F8348D" w:rsidRDefault="00F8348D" w:rsidP="00691195">
      <w:pPr>
        <w:pStyle w:val="NoSpacing"/>
        <w:jc w:val="both"/>
      </w:pPr>
    </w:p>
    <w:p w14:paraId="592F34D7" w14:textId="3FA60208" w:rsidR="00561809" w:rsidRPr="00A74CF7" w:rsidRDefault="007D2B8A" w:rsidP="007D2B8A">
      <w:pPr>
        <w:pStyle w:val="NoSpacing"/>
        <w:jc w:val="both"/>
        <w:rPr>
          <w:i/>
        </w:rPr>
      </w:pPr>
      <w:r>
        <w:rPr>
          <w:i/>
        </w:rPr>
        <w:t>b</w:t>
      </w:r>
      <w:r w:rsidR="00561809" w:rsidRPr="00A74CF7">
        <w:rPr>
          <w:i/>
        </w:rPr>
        <w:t xml:space="preserve">. The </w:t>
      </w:r>
      <w:r w:rsidR="00494772">
        <w:rPr>
          <w:i/>
        </w:rPr>
        <w:t>stewardship</w:t>
      </w:r>
      <w:r w:rsidR="00561809" w:rsidRPr="00A74CF7">
        <w:rPr>
          <w:i/>
        </w:rPr>
        <w:t xml:space="preserve"> concerns of clerks</w:t>
      </w:r>
    </w:p>
    <w:p w14:paraId="6828A857" w14:textId="77777777" w:rsidR="00A95B93" w:rsidRDefault="00A95B93" w:rsidP="00691195">
      <w:pPr>
        <w:pStyle w:val="NoSpacing"/>
        <w:jc w:val="both"/>
      </w:pPr>
    </w:p>
    <w:p w14:paraId="030B08AE" w14:textId="0E2A929F" w:rsidR="00561809" w:rsidRDefault="00561809" w:rsidP="00691195">
      <w:pPr>
        <w:pStyle w:val="NoSpacing"/>
        <w:jc w:val="both"/>
      </w:pPr>
      <w:r>
        <w:t xml:space="preserve">By contrast, clerks had </w:t>
      </w:r>
      <w:r w:rsidR="000617B4">
        <w:t>grave</w:t>
      </w:r>
      <w:r>
        <w:t xml:space="preserve"> concerns over the publication of legal advice. These stemmed from t</w:t>
      </w:r>
      <w:r w:rsidRPr="00E82FC4">
        <w:t xml:space="preserve">he </w:t>
      </w:r>
      <w:r w:rsidR="00FC5D1D">
        <w:t xml:space="preserve">clerks’ </w:t>
      </w:r>
      <w:r w:rsidR="00FC5D1D" w:rsidRPr="00FC5D1D">
        <w:rPr>
          <w:i/>
        </w:rPr>
        <w:t>stewardship</w:t>
      </w:r>
      <w:r w:rsidR="00FC5D1D">
        <w:t xml:space="preserve"> role</w:t>
      </w:r>
      <w:r>
        <w:t xml:space="preserve"> in the committee setting and across </w:t>
      </w:r>
      <w:r w:rsidRPr="00E82FC4">
        <w:t>the</w:t>
      </w:r>
      <w:r>
        <w:t xml:space="preserve"> House.</w:t>
      </w:r>
      <w:r w:rsidRPr="00E82FC4">
        <w:t xml:space="preserve"> </w:t>
      </w:r>
    </w:p>
    <w:p w14:paraId="5958B641" w14:textId="77777777" w:rsidR="00561809" w:rsidRDefault="00561809" w:rsidP="00691195">
      <w:pPr>
        <w:pStyle w:val="NoSpacing"/>
        <w:jc w:val="both"/>
      </w:pPr>
    </w:p>
    <w:p w14:paraId="3B54BA8D" w14:textId="31811ECC" w:rsidR="00561809" w:rsidRDefault="00561809" w:rsidP="00691195">
      <w:pPr>
        <w:pStyle w:val="NoSpacing"/>
        <w:jc w:val="both"/>
      </w:pPr>
      <w:r>
        <w:lastRenderedPageBreak/>
        <w:t xml:space="preserve">First, </w:t>
      </w:r>
      <w:r w:rsidRPr="00EF0269">
        <w:t xml:space="preserve">several clerks expressed concern </w:t>
      </w:r>
      <w:r>
        <w:t>about</w:t>
      </w:r>
      <w:r w:rsidRPr="00EF0269">
        <w:t xml:space="preserve"> the implications </w:t>
      </w:r>
      <w:r>
        <w:t xml:space="preserve">of publication </w:t>
      </w:r>
      <w:r w:rsidRPr="00EF0269">
        <w:t xml:space="preserve">for </w:t>
      </w:r>
      <w:r>
        <w:t xml:space="preserve">a </w:t>
      </w:r>
      <w:r w:rsidRPr="00EF0269">
        <w:t>committee</w:t>
      </w:r>
      <w:r>
        <w:t>’</w:t>
      </w:r>
      <w:r w:rsidRPr="00EF0269">
        <w:t>s</w:t>
      </w:r>
      <w:r>
        <w:t xml:space="preserve"> reputation. If</w:t>
      </w:r>
      <w:r w:rsidRPr="00EF0269">
        <w:t xml:space="preserve"> a committee publishe</w:t>
      </w:r>
      <w:r>
        <w:t>d</w:t>
      </w:r>
      <w:r w:rsidRPr="00EF0269">
        <w:t xml:space="preserve"> legal advice which it had chosen to act against, it risked undermining its position by revealing that it was deliberately contravening the </w:t>
      </w:r>
      <w:r>
        <w:t>legal advice it had been given</w:t>
      </w:r>
      <w:r w:rsidRPr="00EF0269">
        <w:t>.</w:t>
      </w:r>
      <w:r>
        <w:t xml:space="preserve"> Second, at a more institutional level, clerks were anxious that publishing advice risked the gradual erosion of confidentiality between members</w:t>
      </w:r>
      <w:r w:rsidRPr="00227135">
        <w:t xml:space="preserve"> </w:t>
      </w:r>
      <w:r>
        <w:t xml:space="preserve">and parliamentary staff generally. Once there was an expectation that one type of advice should be published, similar expectations could easily develop in relation to other types of in-house advice. </w:t>
      </w:r>
      <w:r w:rsidR="00C14F57">
        <w:t xml:space="preserve">As </w:t>
      </w:r>
      <w:r w:rsidRPr="008241D9">
        <w:rPr>
          <w:rFonts w:cstheme="minorHAnsi"/>
        </w:rPr>
        <w:t xml:space="preserve">one clerk put it, ‘...the harm is not so much about it being legal advice as about </w:t>
      </w:r>
      <w:r w:rsidRPr="008241D9">
        <w:rPr>
          <w:rFonts w:cstheme="minorHAnsi"/>
          <w:i/>
        </w:rPr>
        <w:t>any</w:t>
      </w:r>
      <w:r w:rsidRPr="008241D9">
        <w:rPr>
          <w:rFonts w:cstheme="minorHAnsi"/>
        </w:rPr>
        <w:t xml:space="preserve"> advice’.</w:t>
      </w:r>
      <w:r>
        <w:rPr>
          <w:rStyle w:val="FootnoteReference"/>
          <w:rFonts w:cstheme="minorHAnsi"/>
        </w:rPr>
        <w:footnoteReference w:id="104"/>
      </w:r>
      <w:r w:rsidRPr="00292621">
        <w:t xml:space="preserve"> </w:t>
      </w:r>
      <w:r>
        <w:t xml:space="preserve">This was about maintaining </w:t>
      </w:r>
      <w:r w:rsidR="008B0C25">
        <w:t xml:space="preserve">institutional </w:t>
      </w:r>
      <w:r>
        <w:t xml:space="preserve">autonomy. For clerks, creating an expectation that any type of in-house advice will be published risked surrendering the autonomy of committees to decide whether or not to publish such advice in future. </w:t>
      </w:r>
      <w:r w:rsidR="00F45B96">
        <w:t xml:space="preserve">This is consistent with </w:t>
      </w:r>
      <w:proofErr w:type="spellStart"/>
      <w:r>
        <w:t>Fasone</w:t>
      </w:r>
      <w:proofErr w:type="spellEnd"/>
      <w:r>
        <w:t xml:space="preserve"> and </w:t>
      </w:r>
      <w:proofErr w:type="spellStart"/>
      <w:r>
        <w:t>Lupo</w:t>
      </w:r>
      <w:r w:rsidR="00F45B96">
        <w:t>’s</w:t>
      </w:r>
      <w:proofErr w:type="spellEnd"/>
      <w:r w:rsidR="00F45B96">
        <w:t xml:space="preserve"> argument</w:t>
      </w:r>
      <w:r>
        <w:t xml:space="preserve"> that a sudden increase in legislative transparency can result in a ‘runaway process’ in which a legislature begins to lose control over the flow and volume of information which it receives and transmits to the public.</w:t>
      </w:r>
      <w:r>
        <w:rPr>
          <w:rStyle w:val="FootnoteReference"/>
        </w:rPr>
        <w:footnoteReference w:id="105"/>
      </w:r>
      <w:r>
        <w:t xml:space="preserve"> </w:t>
      </w:r>
    </w:p>
    <w:p w14:paraId="3C858306" w14:textId="77777777" w:rsidR="00561809" w:rsidRDefault="00561809" w:rsidP="00691195">
      <w:pPr>
        <w:pStyle w:val="NoSpacing"/>
        <w:jc w:val="both"/>
      </w:pPr>
    </w:p>
    <w:p w14:paraId="690041D0" w14:textId="31D409BB" w:rsidR="00561809" w:rsidRDefault="00561809" w:rsidP="00691195">
      <w:pPr>
        <w:pStyle w:val="NoSpacing"/>
        <w:jc w:val="both"/>
      </w:pPr>
      <w:r>
        <w:t xml:space="preserve">Third, and even more significantly, the publication of legal advice was considered by some clerks to engage the defensive aspect of their </w:t>
      </w:r>
      <w:r w:rsidR="00255A21">
        <w:t xml:space="preserve">steward </w:t>
      </w:r>
      <w:r>
        <w:t>role in upholding</w:t>
      </w:r>
      <w:r w:rsidR="00C14F57">
        <w:t xml:space="preserve"> the</w:t>
      </w:r>
      <w:r>
        <w:t xml:space="preserve"> </w:t>
      </w:r>
      <w:r w:rsidRPr="00E82FC4">
        <w:t>autonomy</w:t>
      </w:r>
      <w:r>
        <w:t xml:space="preserve"> of Parliament as an institution</w:t>
      </w:r>
      <w:r w:rsidRPr="00E82FC4">
        <w:t xml:space="preserve">. </w:t>
      </w:r>
      <w:r>
        <w:t>Clerks view themselves as responsible for policing on Parliament’s behalf the ‘</w:t>
      </w:r>
      <w:r w:rsidRPr="00FA5D5A">
        <w:t>very grey area</w:t>
      </w:r>
      <w:r>
        <w:t>’</w:t>
      </w:r>
      <w:r>
        <w:rPr>
          <w:rStyle w:val="FootnoteReference"/>
        </w:rPr>
        <w:footnoteReference w:id="106"/>
      </w:r>
      <w:r>
        <w:t xml:space="preserve"> between the jurisdictions of Parliament and the courts. Thus, several clerks were concerned that publishing legal advice could encourage judicial scrutiny of parliamentary proceedings, contrary to Article IX of the Bill of Rights 1689.</w:t>
      </w:r>
      <w:r>
        <w:rPr>
          <w:rStyle w:val="FootnoteReference"/>
        </w:rPr>
        <w:footnoteReference w:id="107"/>
      </w:r>
      <w:r>
        <w:t xml:space="preserve"> As one clerk argued, </w:t>
      </w:r>
    </w:p>
    <w:p w14:paraId="49E9B116" w14:textId="77777777" w:rsidR="00561809" w:rsidRDefault="00561809" w:rsidP="00691195">
      <w:pPr>
        <w:pStyle w:val="NoSpacing"/>
        <w:jc w:val="both"/>
      </w:pPr>
    </w:p>
    <w:p w14:paraId="253B81BE" w14:textId="77777777" w:rsidR="00561809" w:rsidRPr="00E82FC4" w:rsidRDefault="00561809" w:rsidP="00691195">
      <w:pPr>
        <w:pStyle w:val="NoSpacing"/>
        <w:ind w:left="720"/>
        <w:jc w:val="both"/>
      </w:pPr>
      <w:r>
        <w:t>‘… p</w:t>
      </w:r>
      <w:r w:rsidRPr="00E82FC4">
        <w:t>ublishing legal advice</w:t>
      </w:r>
      <w:r>
        <w:t>,</w:t>
      </w:r>
      <w:r w:rsidRPr="00E82FC4">
        <w:t xml:space="preserve"> and then going against it is just inviting the courts in ... All it is doing is increasing the impression that this is what you might call a court legal matter rather than a parl</w:t>
      </w:r>
      <w:r>
        <w:t>iamentary legal matter.’</w:t>
      </w:r>
      <w:r>
        <w:rPr>
          <w:rStyle w:val="FootnoteReference"/>
        </w:rPr>
        <w:footnoteReference w:id="108"/>
      </w:r>
    </w:p>
    <w:p w14:paraId="76ED2D50" w14:textId="77777777" w:rsidR="00561809" w:rsidRPr="00E82FC4" w:rsidRDefault="00561809" w:rsidP="00691195">
      <w:pPr>
        <w:pStyle w:val="NoSpacing"/>
        <w:jc w:val="both"/>
      </w:pPr>
    </w:p>
    <w:p w14:paraId="55382C06" w14:textId="7D34E1E8" w:rsidR="00561809" w:rsidRDefault="00561809" w:rsidP="00691195">
      <w:pPr>
        <w:pStyle w:val="NoSpacing"/>
        <w:jc w:val="both"/>
      </w:pPr>
      <w:r w:rsidRPr="00E82FC4">
        <w:t xml:space="preserve">This </w:t>
      </w:r>
      <w:r>
        <w:t xml:space="preserve">reflects </w:t>
      </w:r>
      <w:r w:rsidRPr="00E82FC4">
        <w:t xml:space="preserve">a concern among clerks </w:t>
      </w:r>
      <w:r w:rsidR="00F66208">
        <w:t>over</w:t>
      </w:r>
      <w:r w:rsidRPr="00E82FC4">
        <w:t xml:space="preserve"> the use of select committee reports in litigation proceedings. The former clerk of the House of Commons, Lord Lisvane, recently argued that Parliament’</w:t>
      </w:r>
      <w:r>
        <w:t>s principal Article IX problem</w:t>
      </w:r>
      <w:r w:rsidRPr="00E82FC4">
        <w:t xml:space="preserve"> now relates to select committees</w:t>
      </w:r>
      <w:r>
        <w:t>. T</w:t>
      </w:r>
      <w:r w:rsidRPr="00E82FC4">
        <w:t xml:space="preserve">he legal content of </w:t>
      </w:r>
      <w:r>
        <w:t>committee reports</w:t>
      </w:r>
      <w:r w:rsidRPr="00E82FC4">
        <w:t>, he notes, provide ‘grist to many a litigant’s mill’.</w:t>
      </w:r>
      <w:r>
        <w:rPr>
          <w:rStyle w:val="FootnoteReference"/>
        </w:rPr>
        <w:footnoteReference w:id="109"/>
      </w:r>
      <w:r w:rsidRPr="00E82FC4">
        <w:t xml:space="preserve"> Another Commons clerk, Eve Samson, suggests that traditional </w:t>
      </w:r>
      <w:r>
        <w:t xml:space="preserve">fears </w:t>
      </w:r>
      <w:r w:rsidRPr="00E82FC4">
        <w:t xml:space="preserve">about the </w:t>
      </w:r>
      <w:r>
        <w:t xml:space="preserve">judicial </w:t>
      </w:r>
      <w:r w:rsidRPr="00E82FC4">
        <w:t>erosion of free speech within Parliament are misplaced: ‘The danger, if it exists, lies in the more subtle use of proceedings’.</w:t>
      </w:r>
      <w:r w:rsidRPr="00E82FC4">
        <w:rPr>
          <w:rStyle w:val="FootnoteReference"/>
        </w:rPr>
        <w:footnoteReference w:id="110"/>
      </w:r>
      <w:r w:rsidR="002516E3">
        <w:t xml:space="preserve"> </w:t>
      </w:r>
      <w:r w:rsidR="00805D2D">
        <w:t xml:space="preserve">This </w:t>
      </w:r>
      <w:r w:rsidR="008B0C25">
        <w:t>points to</w:t>
      </w:r>
      <w:r w:rsidR="00805D2D">
        <w:t xml:space="preserve"> </w:t>
      </w:r>
      <w:r>
        <w:t>the potential, long-term</w:t>
      </w:r>
      <w:r w:rsidR="00515CD3">
        <w:t>,</w:t>
      </w:r>
      <w:r>
        <w:t xml:space="preserve"> risks that publishing advice might have on parliamentary autonomy—juridification, or the potential encroachment of judicial norms into both committee proceedings and parliamentary business more generally. </w:t>
      </w:r>
      <w:r>
        <w:lastRenderedPageBreak/>
        <w:t xml:space="preserve">Thus, the deference of clerks to committee autonomy </w:t>
      </w:r>
      <w:r w:rsidR="003C5E6C">
        <w:t xml:space="preserve">is </w:t>
      </w:r>
      <w:r>
        <w:t xml:space="preserve">tempered by their responsibilities to the broader institution, Parliament. </w:t>
      </w:r>
    </w:p>
    <w:p w14:paraId="66FDB293" w14:textId="77777777" w:rsidR="00561809" w:rsidRDefault="00561809" w:rsidP="00691195">
      <w:pPr>
        <w:pStyle w:val="NoSpacing"/>
        <w:jc w:val="both"/>
      </w:pPr>
    </w:p>
    <w:p w14:paraId="2DB8ADC9" w14:textId="52B81559" w:rsidR="00561809" w:rsidRPr="000E3E5F" w:rsidRDefault="007D2B8A" w:rsidP="007D2B8A">
      <w:pPr>
        <w:pStyle w:val="NoSpacing"/>
        <w:jc w:val="both"/>
        <w:rPr>
          <w:i/>
        </w:rPr>
      </w:pPr>
      <w:r>
        <w:rPr>
          <w:i/>
        </w:rPr>
        <w:t>c</w:t>
      </w:r>
      <w:r w:rsidR="00561809" w:rsidRPr="000E3E5F">
        <w:rPr>
          <w:i/>
        </w:rPr>
        <w:t>. The professional concerns of parliamentary lawyers</w:t>
      </w:r>
    </w:p>
    <w:p w14:paraId="1AEBEE7B" w14:textId="77777777" w:rsidR="00A95B93" w:rsidRDefault="00A95B93" w:rsidP="00691195">
      <w:pPr>
        <w:pStyle w:val="NoSpacing"/>
        <w:jc w:val="both"/>
      </w:pPr>
    </w:p>
    <w:p w14:paraId="7DCF26CD" w14:textId="45A39B76" w:rsidR="005940AE" w:rsidRDefault="00561809" w:rsidP="00691195">
      <w:pPr>
        <w:pStyle w:val="NoSpacing"/>
        <w:jc w:val="both"/>
      </w:pPr>
      <w:r>
        <w:t xml:space="preserve">Like clerks, parliamentary lawyers had concerns over the potential ramifications of publishing legal advice. </w:t>
      </w:r>
      <w:r w:rsidR="005940AE">
        <w:t xml:space="preserve">To some extent, these echoed clerks’ concerns about committee autonomy and reputation: </w:t>
      </w:r>
    </w:p>
    <w:p w14:paraId="3BA86125" w14:textId="77777777" w:rsidR="005940AE" w:rsidRDefault="005940AE" w:rsidP="00691195">
      <w:pPr>
        <w:pStyle w:val="NoSpacing"/>
        <w:jc w:val="both"/>
      </w:pPr>
    </w:p>
    <w:p w14:paraId="0553CBE5" w14:textId="7E5F248D" w:rsidR="005940AE" w:rsidRDefault="005940AE" w:rsidP="005940AE">
      <w:pPr>
        <w:pStyle w:val="NoSpacing"/>
        <w:ind w:left="720"/>
        <w:jc w:val="both"/>
      </w:pPr>
      <w:r>
        <w:t>‘</w:t>
      </w:r>
      <w:r w:rsidRPr="005940AE">
        <w:t xml:space="preserve">...it feeds an expectation of publication, so that, on those occasions where the committee prefers not to publish the advice </w:t>
      </w:r>
      <w:r>
        <w:t>…</w:t>
      </w:r>
      <w:r w:rsidRPr="005940AE">
        <w:t xml:space="preserve"> the expectation may have become difficult to disappoint.  And a failure to publish advice in circumstances where there has previously have been a tendency to publish it is likely to lead to the drawing of inferences that the committee's report has parted company with the legal advice it has received.</w:t>
      </w:r>
      <w:r>
        <w:t>’</w:t>
      </w:r>
      <w:r>
        <w:rPr>
          <w:rStyle w:val="FootnoteReference"/>
        </w:rPr>
        <w:footnoteReference w:id="111"/>
      </w:r>
    </w:p>
    <w:p w14:paraId="366295EB" w14:textId="77777777" w:rsidR="005940AE" w:rsidRDefault="005940AE" w:rsidP="00691195">
      <w:pPr>
        <w:pStyle w:val="NoSpacing"/>
        <w:jc w:val="both"/>
      </w:pPr>
    </w:p>
    <w:p w14:paraId="20EFBF94" w14:textId="0F10748C" w:rsidR="00561809" w:rsidRDefault="00561809" w:rsidP="00691195">
      <w:pPr>
        <w:pStyle w:val="NoSpacing"/>
        <w:jc w:val="both"/>
      </w:pPr>
      <w:r>
        <w:t xml:space="preserve">In contrast to clerks, </w:t>
      </w:r>
      <w:r w:rsidR="005940AE">
        <w:t>however</w:t>
      </w:r>
      <w:r>
        <w:t xml:space="preserve">, </w:t>
      </w:r>
      <w:r w:rsidR="00255A21">
        <w:t>lawyers’ concerns</w:t>
      </w:r>
      <w:r>
        <w:t xml:space="preserve"> were </w:t>
      </w:r>
      <w:r w:rsidR="005940AE">
        <w:t>mostly</w:t>
      </w:r>
      <w:r>
        <w:t xml:space="preserve"> expressed in </w:t>
      </w:r>
      <w:r w:rsidR="005940AE">
        <w:t xml:space="preserve">terms of </w:t>
      </w:r>
      <w:r>
        <w:t xml:space="preserve">their </w:t>
      </w:r>
      <w:r w:rsidRPr="00FC5D1D">
        <w:rPr>
          <w:i/>
        </w:rPr>
        <w:t>professional</w:t>
      </w:r>
      <w:r>
        <w:t xml:space="preserve"> </w:t>
      </w:r>
      <w:r w:rsidR="00FC5D1D">
        <w:t>role</w:t>
      </w:r>
      <w:r w:rsidR="005940AE">
        <w:t xml:space="preserve"> and norms</w:t>
      </w:r>
      <w:r>
        <w:t xml:space="preserve">. What caused </w:t>
      </w:r>
      <w:r w:rsidR="005940AE">
        <w:t>lawyers</w:t>
      </w:r>
      <w:r>
        <w:t xml:space="preserve"> consternation were the potential </w:t>
      </w:r>
      <w:r w:rsidR="00CF6DD2">
        <w:t xml:space="preserve">implications </w:t>
      </w:r>
      <w:r>
        <w:t xml:space="preserve">for core aspects of the </w:t>
      </w:r>
      <w:r w:rsidRPr="00EC415A">
        <w:t>lawyer-client relationship</w:t>
      </w:r>
      <w:r>
        <w:t xml:space="preserve"> in the legislative context.  </w:t>
      </w:r>
    </w:p>
    <w:p w14:paraId="28955627" w14:textId="77777777" w:rsidR="00561809" w:rsidRDefault="00561809" w:rsidP="00691195">
      <w:pPr>
        <w:pStyle w:val="NoSpacing"/>
        <w:jc w:val="both"/>
      </w:pPr>
    </w:p>
    <w:p w14:paraId="0416D14A" w14:textId="5F80050E" w:rsidR="00561809" w:rsidRPr="0064492D" w:rsidRDefault="00561809" w:rsidP="00691195">
      <w:pPr>
        <w:pStyle w:val="NoSpacing"/>
        <w:jc w:val="both"/>
        <w:rPr>
          <w:i/>
        </w:rPr>
      </w:pPr>
      <w:r>
        <w:t>First</w:t>
      </w:r>
      <w:r w:rsidRPr="00E82FC4">
        <w:t xml:space="preserve">, </w:t>
      </w:r>
      <w:r>
        <w:t>several parliamentary lawyers were concerned that publishing legal advice would undermine</w:t>
      </w:r>
      <w:r w:rsidRPr="00CB2FAA">
        <w:t xml:space="preserve"> </w:t>
      </w:r>
      <w:r>
        <w:t>a</w:t>
      </w:r>
      <w:r w:rsidRPr="00CB2FAA">
        <w:t xml:space="preserve"> key </w:t>
      </w:r>
      <w:r>
        <w:t>rationale of LPP</w:t>
      </w:r>
      <w:r w:rsidRPr="00CB2FAA">
        <w:t xml:space="preserve">: </w:t>
      </w:r>
      <w:r>
        <w:t>the need for a relationship based on</w:t>
      </w:r>
      <w:r w:rsidRPr="00CB2FAA">
        <w:t xml:space="preserve"> frankness between client and lawyer. </w:t>
      </w:r>
      <w:r>
        <w:t xml:space="preserve">The courts have long held that </w:t>
      </w:r>
      <w:r w:rsidRPr="0038524C">
        <w:t xml:space="preserve">LPP </w:t>
      </w:r>
      <w:r w:rsidR="006E4F4F">
        <w:t>enables</w:t>
      </w:r>
      <w:r w:rsidRPr="0038524C">
        <w:t xml:space="preserve"> ‘</w:t>
      </w:r>
      <w:r>
        <w:t>…</w:t>
      </w:r>
      <w:r w:rsidRPr="0038524C">
        <w:t>clients and their legal advisers to communicate with each other with complete candour’</w:t>
      </w:r>
      <w:r>
        <w:t>,</w:t>
      </w:r>
      <w:r w:rsidRPr="0038524C">
        <w:rPr>
          <w:rStyle w:val="FootnoteReference"/>
        </w:rPr>
        <w:footnoteReference w:id="112"/>
      </w:r>
      <w:r>
        <w:t xml:space="preserve"> ensuring that ‘lawyers give their </w:t>
      </w:r>
      <w:r w:rsidRPr="001E67A7">
        <w:t>clients sound advice, accurate as to t</w:t>
      </w:r>
      <w:r>
        <w:t xml:space="preserve">he law and sensible as to their </w:t>
      </w:r>
      <w:r w:rsidRPr="001E67A7">
        <w:t>conduct</w:t>
      </w:r>
      <w:r>
        <w:t>’.</w:t>
      </w:r>
      <w:r>
        <w:rPr>
          <w:rStyle w:val="FootnoteReference"/>
        </w:rPr>
        <w:footnoteReference w:id="113"/>
      </w:r>
      <w:r>
        <w:t xml:space="preserve"> </w:t>
      </w:r>
      <w:r w:rsidR="00B368FD">
        <w:t xml:space="preserve">Thus, the lawyers </w:t>
      </w:r>
      <w:r w:rsidR="008B0C25">
        <w:t>thought</w:t>
      </w:r>
      <w:r w:rsidR="00B368FD">
        <w:t xml:space="preserve"> that</w:t>
      </w:r>
      <w:r>
        <w:rPr>
          <w:rFonts w:cstheme="minorHAnsi"/>
        </w:rPr>
        <w:t xml:space="preserve"> </w:t>
      </w:r>
      <w:r w:rsidR="00B368FD">
        <w:rPr>
          <w:rFonts w:cstheme="minorHAnsi"/>
        </w:rPr>
        <w:t xml:space="preserve">publishing </w:t>
      </w:r>
      <w:r>
        <w:rPr>
          <w:rFonts w:cstheme="minorHAnsi"/>
        </w:rPr>
        <w:t>legal advice</w:t>
      </w:r>
      <w:r w:rsidR="004C4EAF">
        <w:rPr>
          <w:rFonts w:cstheme="minorHAnsi"/>
        </w:rPr>
        <w:t xml:space="preserve"> more frequently</w:t>
      </w:r>
      <w:r>
        <w:rPr>
          <w:rFonts w:cstheme="minorHAnsi"/>
        </w:rPr>
        <w:t xml:space="preserve"> </w:t>
      </w:r>
      <w:r w:rsidR="008B0C25">
        <w:rPr>
          <w:rFonts w:cstheme="minorHAnsi"/>
        </w:rPr>
        <w:t>c</w:t>
      </w:r>
      <w:r w:rsidRPr="00E82FC4">
        <w:rPr>
          <w:rFonts w:cstheme="minorHAnsi"/>
        </w:rPr>
        <w:t>ould have a ‘</w:t>
      </w:r>
      <w:r w:rsidRPr="00E82FC4">
        <w:t>chilling effect’</w:t>
      </w:r>
      <w:r>
        <w:rPr>
          <w:rStyle w:val="FootnoteReference"/>
        </w:rPr>
        <w:footnoteReference w:id="114"/>
      </w:r>
      <w:r w:rsidRPr="00E82FC4">
        <w:t xml:space="preserve"> on the way </w:t>
      </w:r>
      <w:r>
        <w:t>that it is given</w:t>
      </w:r>
      <w:r w:rsidRPr="00E82FC4">
        <w:t xml:space="preserve">. </w:t>
      </w:r>
      <w:r>
        <w:t>S</w:t>
      </w:r>
      <w:r w:rsidRPr="00E82FC4">
        <w:t>everal emphasised that</w:t>
      </w:r>
      <w:r>
        <w:t>, as a matter of ordinary practice, they</w:t>
      </w:r>
      <w:r w:rsidRPr="00E82FC4">
        <w:t xml:space="preserve"> prepare their written advice on the assumption that </w:t>
      </w:r>
      <w:r>
        <w:t>it could be published</w:t>
      </w:r>
      <w:r w:rsidRPr="00E82FC4">
        <w:t xml:space="preserve">. </w:t>
      </w:r>
      <w:r w:rsidRPr="00E82FC4">
        <w:rPr>
          <w:rFonts w:cstheme="minorHAnsi"/>
        </w:rPr>
        <w:t xml:space="preserve">However, the presumption of confidentiality which ordinarily exists between lawyers and </w:t>
      </w:r>
      <w:r>
        <w:rPr>
          <w:rFonts w:cstheme="minorHAnsi"/>
        </w:rPr>
        <w:t>parliamentarians</w:t>
      </w:r>
      <w:r w:rsidRPr="00E82FC4">
        <w:rPr>
          <w:rFonts w:cstheme="minorHAnsi"/>
        </w:rPr>
        <w:t xml:space="preserve"> </w:t>
      </w:r>
      <w:r w:rsidR="008B0C25">
        <w:rPr>
          <w:rFonts w:cstheme="minorHAnsi"/>
        </w:rPr>
        <w:t>allowed</w:t>
      </w:r>
      <w:r w:rsidRPr="00E82FC4">
        <w:rPr>
          <w:rFonts w:cstheme="minorHAnsi"/>
        </w:rPr>
        <w:t xml:space="preserve"> the former to bring a degree of nuance and individuality to their advice</w:t>
      </w:r>
      <w:r>
        <w:rPr>
          <w:rFonts w:cstheme="minorHAnsi"/>
        </w:rPr>
        <w:t>.</w:t>
      </w:r>
      <w:r w:rsidRPr="00E82FC4">
        <w:rPr>
          <w:rFonts w:cstheme="minorHAnsi"/>
        </w:rPr>
        <w:t xml:space="preserve"> </w:t>
      </w:r>
      <w:r>
        <w:rPr>
          <w:rFonts w:cstheme="minorHAnsi"/>
        </w:rPr>
        <w:t>A</w:t>
      </w:r>
      <w:r w:rsidRPr="00E82FC4">
        <w:rPr>
          <w:rFonts w:cstheme="minorHAnsi"/>
        </w:rPr>
        <w:t xml:space="preserve">s one lawyer explained:  </w:t>
      </w:r>
    </w:p>
    <w:p w14:paraId="7A67C36B" w14:textId="77777777" w:rsidR="00561809" w:rsidRPr="00E82FC4" w:rsidRDefault="00561809" w:rsidP="00691195">
      <w:pPr>
        <w:pStyle w:val="NoSpacing"/>
        <w:jc w:val="both"/>
      </w:pPr>
    </w:p>
    <w:p w14:paraId="79C0E145" w14:textId="77777777" w:rsidR="00561809" w:rsidRPr="00F029DC" w:rsidRDefault="00561809" w:rsidP="00691195">
      <w:pPr>
        <w:pStyle w:val="NoSpacing"/>
        <w:ind w:left="720"/>
        <w:jc w:val="both"/>
        <w:rPr>
          <w:rFonts w:cstheme="minorHAnsi"/>
        </w:rPr>
      </w:pPr>
      <w:r>
        <w:rPr>
          <w:rFonts w:cstheme="minorHAnsi"/>
        </w:rPr>
        <w:t xml:space="preserve">‘That's my legal advice. </w:t>
      </w:r>
      <w:r w:rsidRPr="00F029DC">
        <w:rPr>
          <w:rFonts w:cstheme="minorHAnsi"/>
        </w:rPr>
        <w:t>I'm sort of accountable for it because [it’s] my name on the tin... [M]y views are not always mainstream views, and I can make that point ... [I]f I give a view, I can do it personally, and that would have the proper weight ... and I can explain, if necessary, that this view is not shared by ... the majority of the academic community</w:t>
      </w:r>
      <w:r>
        <w:rPr>
          <w:rFonts w:cstheme="minorHAnsi"/>
        </w:rPr>
        <w:t>.’</w:t>
      </w:r>
      <w:r w:rsidRPr="00F029DC">
        <w:rPr>
          <w:rStyle w:val="FootnoteReference"/>
          <w:rFonts w:cstheme="minorHAnsi"/>
        </w:rPr>
        <w:footnoteReference w:id="115"/>
      </w:r>
    </w:p>
    <w:p w14:paraId="778F0894" w14:textId="77777777" w:rsidR="00561809" w:rsidRPr="00E82FC4" w:rsidRDefault="00561809" w:rsidP="00691195">
      <w:pPr>
        <w:pStyle w:val="NoSpacing"/>
        <w:jc w:val="both"/>
        <w:rPr>
          <w:rFonts w:cstheme="minorHAnsi"/>
        </w:rPr>
      </w:pPr>
    </w:p>
    <w:p w14:paraId="454900FD" w14:textId="1B81884A" w:rsidR="00561809" w:rsidRPr="00450371" w:rsidRDefault="00561809" w:rsidP="00691195">
      <w:pPr>
        <w:pStyle w:val="NoSpacing"/>
        <w:jc w:val="both"/>
        <w:rPr>
          <w:rFonts w:cstheme="minorHAnsi"/>
        </w:rPr>
      </w:pPr>
      <w:r>
        <w:rPr>
          <w:rFonts w:cstheme="minorHAnsi"/>
        </w:rPr>
        <w:lastRenderedPageBreak/>
        <w:t>I</w:t>
      </w:r>
      <w:r w:rsidRPr="00E82FC4">
        <w:rPr>
          <w:rFonts w:cstheme="minorHAnsi"/>
        </w:rPr>
        <w:t xml:space="preserve">ncreasing the publication of legal opinions was </w:t>
      </w:r>
      <w:r>
        <w:rPr>
          <w:rFonts w:cstheme="minorHAnsi"/>
        </w:rPr>
        <w:t xml:space="preserve">therefore </w:t>
      </w:r>
      <w:r w:rsidRPr="00E82FC4">
        <w:rPr>
          <w:rFonts w:cstheme="minorHAnsi"/>
        </w:rPr>
        <w:t xml:space="preserve">considered likely to </w:t>
      </w:r>
      <w:r>
        <w:rPr>
          <w:rFonts w:cstheme="minorHAnsi"/>
        </w:rPr>
        <w:t>cause</w:t>
      </w:r>
      <w:r w:rsidRPr="00E82FC4">
        <w:rPr>
          <w:rFonts w:cstheme="minorHAnsi"/>
        </w:rPr>
        <w:t xml:space="preserve"> a decline in their frankness and even their advisory character.</w:t>
      </w:r>
      <w:r w:rsidRPr="00E82FC4">
        <w:rPr>
          <w:rFonts w:cstheme="minorHAnsi"/>
          <w:vertAlign w:val="superscript"/>
        </w:rPr>
        <w:footnoteReference w:id="116"/>
      </w:r>
      <w:r w:rsidRPr="00E82FC4">
        <w:rPr>
          <w:rFonts w:cstheme="minorHAnsi"/>
        </w:rPr>
        <w:t xml:space="preserve"> One lawyer suggested that it could reduce the lawyers’ role to the provision of legal information, rather than advice, similar to the legal research notes already produced by the House of Comm</w:t>
      </w:r>
      <w:r>
        <w:rPr>
          <w:rFonts w:cstheme="minorHAnsi"/>
        </w:rPr>
        <w:t>ons Library</w:t>
      </w:r>
      <w:r w:rsidRPr="00E82FC4">
        <w:rPr>
          <w:rFonts w:cstheme="minorHAnsi"/>
        </w:rPr>
        <w:t>.</w:t>
      </w:r>
      <w:r>
        <w:rPr>
          <w:rStyle w:val="FootnoteReference"/>
        </w:rPr>
        <w:footnoteReference w:id="117"/>
      </w:r>
      <w:r>
        <w:rPr>
          <w:rFonts w:cstheme="minorHAnsi"/>
        </w:rPr>
        <w:t xml:space="preserve"> </w:t>
      </w:r>
    </w:p>
    <w:p w14:paraId="1CB7C10E" w14:textId="77777777" w:rsidR="00561809" w:rsidRDefault="00561809" w:rsidP="00691195">
      <w:pPr>
        <w:pStyle w:val="NoSpacing"/>
        <w:jc w:val="both"/>
      </w:pPr>
    </w:p>
    <w:p w14:paraId="3EB48197" w14:textId="2E3E14EE" w:rsidR="007C138D" w:rsidRDefault="007C138D" w:rsidP="00691195">
      <w:pPr>
        <w:pStyle w:val="NoSpacing"/>
        <w:jc w:val="both"/>
      </w:pPr>
      <w:r>
        <w:t>P</w:t>
      </w:r>
      <w:r w:rsidR="00561809">
        <w:t xml:space="preserve">arliamentary lawyers were </w:t>
      </w:r>
      <w:r>
        <w:t xml:space="preserve">also </w:t>
      </w:r>
      <w:r w:rsidR="00561809">
        <w:t xml:space="preserve">concerned that publishing legal advice could potentially impinge on their ability to support multiple clients within the </w:t>
      </w:r>
      <w:r w:rsidR="00561809" w:rsidRPr="00812BB5">
        <w:t xml:space="preserve">legislature. </w:t>
      </w:r>
      <w:r w:rsidR="00561809">
        <w:t xml:space="preserve">Parliamentary lawyers assist in many areas of parliamentary activity. </w:t>
      </w:r>
      <w:r w:rsidR="00A21105">
        <w:t xml:space="preserve">Moreover, </w:t>
      </w:r>
      <w:r w:rsidR="00561809">
        <w:t>the pool of potential clients has expanded in the wake of the Brexit referendum,</w:t>
      </w:r>
      <w:r w:rsidR="00561809" w:rsidRPr="00B22FD8">
        <w:t xml:space="preserve"> </w:t>
      </w:r>
      <w:r>
        <w:t xml:space="preserve">with </w:t>
      </w:r>
      <w:r w:rsidR="00561809" w:rsidRPr="00B22FD8">
        <w:t xml:space="preserve">the establishment of the Exiting the European Union </w:t>
      </w:r>
      <w:r w:rsidR="004E0AC9">
        <w:t>S</w:t>
      </w:r>
      <w:r w:rsidR="004E0AC9" w:rsidRPr="00B22FD8">
        <w:t xml:space="preserve">elect </w:t>
      </w:r>
      <w:r w:rsidR="004E0AC9">
        <w:t>C</w:t>
      </w:r>
      <w:r w:rsidR="004E0AC9" w:rsidRPr="00B22FD8">
        <w:t xml:space="preserve">ommittee </w:t>
      </w:r>
      <w:r w:rsidR="00561809" w:rsidRPr="00B22FD8">
        <w:t xml:space="preserve">and the </w:t>
      </w:r>
      <w:r w:rsidR="00DC3136">
        <w:t xml:space="preserve">current </w:t>
      </w:r>
      <w:r w:rsidR="00561809" w:rsidRPr="00B22FD8">
        <w:t>salience of EU legal considerations across select committee work</w:t>
      </w:r>
      <w:r w:rsidR="00561809">
        <w:t>.</w:t>
      </w:r>
      <w:r>
        <w:t xml:space="preserve"> </w:t>
      </w:r>
      <w:r w:rsidR="00A9116F">
        <w:t>This has led to a shift in legal advice being labelled ‘</w:t>
      </w:r>
      <w:r>
        <w:t>committee notes</w:t>
      </w:r>
      <w:r w:rsidR="00A9116F">
        <w:t>’</w:t>
      </w:r>
      <w:r>
        <w:t xml:space="preserve"> to </w:t>
      </w:r>
      <w:r w:rsidR="00A9116F">
        <w:t>‘</w:t>
      </w:r>
      <w:r>
        <w:t>legal notes</w:t>
      </w:r>
      <w:r w:rsidR="00A9116F">
        <w:t xml:space="preserve">’ which are made </w:t>
      </w:r>
      <w:r w:rsidR="00A9116F" w:rsidRPr="00E82FC4">
        <w:t>available to multiple committees.</w:t>
      </w:r>
    </w:p>
    <w:p w14:paraId="57FB1A8F" w14:textId="77777777" w:rsidR="00561809" w:rsidRDefault="00561809" w:rsidP="00691195">
      <w:pPr>
        <w:pStyle w:val="NoSpacing"/>
        <w:jc w:val="both"/>
      </w:pPr>
    </w:p>
    <w:p w14:paraId="5736C70D" w14:textId="7342E236" w:rsidR="00561809" w:rsidRPr="00E82FC4" w:rsidRDefault="00561809" w:rsidP="00691195">
      <w:pPr>
        <w:pStyle w:val="NoSpacing"/>
        <w:jc w:val="both"/>
      </w:pPr>
      <w:r>
        <w:t xml:space="preserve">With these expanded and multifaceted client loyalties, the publication of legal advice </w:t>
      </w:r>
      <w:r w:rsidR="00DB43D5">
        <w:t xml:space="preserve">gives </w:t>
      </w:r>
      <w:r>
        <w:t xml:space="preserve">rise to two concerns. The first </w:t>
      </w:r>
      <w:r w:rsidR="00DB43D5">
        <w:t xml:space="preserve">is </w:t>
      </w:r>
      <w:r>
        <w:t>the procedural question of how confidentiality is waived where one particular ac</w:t>
      </w:r>
      <w:bookmarkStart w:id="0" w:name="_GoBack"/>
      <w:bookmarkEnd w:id="0"/>
      <w:r>
        <w:t xml:space="preserve">tor seeks to publish advice that may have been supplied to multiple committees. </w:t>
      </w:r>
      <w:r w:rsidRPr="00E82FC4">
        <w:t xml:space="preserve">Waiver of LPP depends on identifying the client who is </w:t>
      </w:r>
      <w:r>
        <w:t xml:space="preserve">legally </w:t>
      </w:r>
      <w:r w:rsidRPr="00E82FC4">
        <w:t>entitled to exercise that waiver.</w:t>
      </w:r>
      <w:r w:rsidRPr="00E82FC4">
        <w:rPr>
          <w:rStyle w:val="FootnoteReference"/>
        </w:rPr>
        <w:footnoteReference w:id="118"/>
      </w:r>
      <w:r w:rsidRPr="00E82FC4">
        <w:t xml:space="preserve"> </w:t>
      </w:r>
      <w:r w:rsidR="009A052E" w:rsidRPr="00186748">
        <w:rPr>
          <w:highlight w:val="yellow"/>
        </w:rPr>
        <w:t xml:space="preserve">While </w:t>
      </w:r>
      <w:r w:rsidR="005D2127">
        <w:rPr>
          <w:highlight w:val="yellow"/>
        </w:rPr>
        <w:t>some</w:t>
      </w:r>
      <w:r w:rsidR="009A052E" w:rsidRPr="00186748">
        <w:rPr>
          <w:highlight w:val="yellow"/>
        </w:rPr>
        <w:t xml:space="preserve"> </w:t>
      </w:r>
      <w:r w:rsidR="005D2127">
        <w:rPr>
          <w:highlight w:val="yellow"/>
        </w:rPr>
        <w:t>parliamentary lawyers</w:t>
      </w:r>
      <w:r w:rsidR="009A052E" w:rsidRPr="00186748">
        <w:rPr>
          <w:highlight w:val="yellow"/>
        </w:rPr>
        <w:t xml:space="preserve"> suggested that the House as a whole </w:t>
      </w:r>
      <w:r w:rsidR="00BB79B0">
        <w:rPr>
          <w:highlight w:val="yellow"/>
        </w:rPr>
        <w:t>could be</w:t>
      </w:r>
      <w:r w:rsidR="009A052E" w:rsidRPr="00186748">
        <w:rPr>
          <w:highlight w:val="yellow"/>
        </w:rPr>
        <w:t xml:space="preserve"> the </w:t>
      </w:r>
      <w:r w:rsidR="00BB79B0">
        <w:rPr>
          <w:highlight w:val="yellow"/>
        </w:rPr>
        <w:t xml:space="preserve">ultimate </w:t>
      </w:r>
      <w:r w:rsidR="009A052E" w:rsidRPr="00186748">
        <w:rPr>
          <w:highlight w:val="yellow"/>
        </w:rPr>
        <w:t>client, determining who is entitled to exercise the waiver at a practical level can be a vexed task</w:t>
      </w:r>
      <w:r w:rsidR="009A052E" w:rsidRPr="00186748">
        <w:rPr>
          <w:highlight w:val="yellow"/>
        </w:rPr>
        <w:t>:</w:t>
      </w:r>
    </w:p>
    <w:p w14:paraId="6B7F1529" w14:textId="77777777" w:rsidR="00561809" w:rsidRPr="00E82FC4" w:rsidRDefault="00561809" w:rsidP="00691195">
      <w:pPr>
        <w:pStyle w:val="NoSpacing"/>
        <w:jc w:val="both"/>
      </w:pPr>
    </w:p>
    <w:p w14:paraId="055BC520" w14:textId="77777777" w:rsidR="00561809" w:rsidRPr="00E82FC4" w:rsidRDefault="00561809" w:rsidP="00691195">
      <w:pPr>
        <w:pStyle w:val="NoSpacing"/>
        <w:ind w:left="720"/>
        <w:jc w:val="both"/>
      </w:pPr>
      <w:r>
        <w:t>‘[I]</w:t>
      </w:r>
      <w:r w:rsidRPr="00E82FC4">
        <w:t xml:space="preserve">t's sort of slightly difficult </w:t>
      </w:r>
      <w:proofErr w:type="spellStart"/>
      <w:r w:rsidRPr="00E82FC4">
        <w:t>'cause</w:t>
      </w:r>
      <w:proofErr w:type="spellEnd"/>
      <w:r w:rsidRPr="00E82FC4">
        <w:t xml:space="preserve"> who is the client?  </w:t>
      </w:r>
      <w:r>
        <w:t>…[A]</w:t>
      </w:r>
      <w:proofErr w:type="spellStart"/>
      <w:r w:rsidRPr="00E82FC4">
        <w:t>nd</w:t>
      </w:r>
      <w:proofErr w:type="spellEnd"/>
      <w:r w:rsidRPr="00E82FC4">
        <w:t xml:space="preserve"> that's still an issue which is sort of not fully resolved. ... If it's to be published, …</w:t>
      </w:r>
      <w:r>
        <w:t xml:space="preserve"> </w:t>
      </w:r>
      <w:r w:rsidRPr="00E82FC4">
        <w:t>who would be the client to waive leg</w:t>
      </w:r>
      <w:r>
        <w:t>al professional privilege?’</w:t>
      </w:r>
      <w:r>
        <w:rPr>
          <w:rStyle w:val="FootnoteReference"/>
        </w:rPr>
        <w:footnoteReference w:id="119"/>
      </w:r>
    </w:p>
    <w:p w14:paraId="2CA62096" w14:textId="77777777" w:rsidR="00561809" w:rsidRPr="00E82FC4" w:rsidRDefault="00561809" w:rsidP="00691195">
      <w:pPr>
        <w:pStyle w:val="NoSpacing"/>
        <w:jc w:val="both"/>
      </w:pPr>
    </w:p>
    <w:p w14:paraId="7C3CEAAA" w14:textId="77777777" w:rsidR="00561809" w:rsidRPr="00E82FC4" w:rsidRDefault="00561809" w:rsidP="00691195">
      <w:pPr>
        <w:pStyle w:val="NoSpacing"/>
        <w:ind w:left="720"/>
        <w:jc w:val="both"/>
      </w:pPr>
      <w:r>
        <w:t>‘[T]</w:t>
      </w:r>
      <w:r w:rsidRPr="00E82FC4">
        <w:t xml:space="preserve">here’s no clarity about </w:t>
      </w:r>
      <w:r>
        <w:t>[who is your client]</w:t>
      </w:r>
      <w:r w:rsidRPr="00E82FC4">
        <w:t xml:space="preserve"> in Parliament. There’s no kin</w:t>
      </w:r>
      <w:r>
        <w:t>d of distilled wisdom about it.</w:t>
      </w:r>
      <w:r w:rsidRPr="00E82FC4">
        <w:t xml:space="preserve"> You come in as a lawyer, and you have to work it out for yourself.</w:t>
      </w:r>
      <w:r>
        <w:t>’</w:t>
      </w:r>
      <w:r>
        <w:rPr>
          <w:rStyle w:val="FootnoteReference"/>
        </w:rPr>
        <w:footnoteReference w:id="120"/>
      </w:r>
      <w:r w:rsidRPr="00E82FC4">
        <w:t xml:space="preserve"> </w:t>
      </w:r>
    </w:p>
    <w:p w14:paraId="4803633C" w14:textId="77777777" w:rsidR="00561809" w:rsidRPr="00E82FC4" w:rsidRDefault="00561809" w:rsidP="00691195">
      <w:pPr>
        <w:pStyle w:val="NoSpacing"/>
        <w:jc w:val="both"/>
      </w:pPr>
    </w:p>
    <w:p w14:paraId="4502C8CB" w14:textId="76E4D22B" w:rsidR="00561809" w:rsidRDefault="00561809" w:rsidP="00691195">
      <w:pPr>
        <w:pStyle w:val="NoSpacing"/>
        <w:jc w:val="both"/>
      </w:pPr>
      <w:r>
        <w:t>The second</w:t>
      </w:r>
      <w:r w:rsidR="009850F0">
        <w:t xml:space="preserve">—and </w:t>
      </w:r>
      <w:r>
        <w:t>related</w:t>
      </w:r>
      <w:r w:rsidR="009850F0">
        <w:t>—</w:t>
      </w:r>
      <w:r>
        <w:t>issue was that publishing legal advice could disrupt a core working practice which enables parliamentary lawyers to support their multiple clients across the legislature. Several interviewees explained how w</w:t>
      </w:r>
      <w:r w:rsidRPr="00901CCC">
        <w:t>ritten legal advice in Westminster is often shared informally between parliamentary officials a</w:t>
      </w:r>
      <w:r>
        <w:t xml:space="preserve">nd committees at their request. As one lawyer put it: </w:t>
      </w:r>
    </w:p>
    <w:p w14:paraId="16DDDEFA" w14:textId="77777777" w:rsidR="00561809" w:rsidRDefault="00561809" w:rsidP="00691195">
      <w:pPr>
        <w:pStyle w:val="NoSpacing"/>
        <w:jc w:val="both"/>
      </w:pPr>
    </w:p>
    <w:p w14:paraId="58BFDE62" w14:textId="77777777" w:rsidR="00561809" w:rsidRPr="004578B4" w:rsidRDefault="00561809" w:rsidP="00691195">
      <w:pPr>
        <w:pStyle w:val="NoSpacing"/>
        <w:ind w:left="720"/>
        <w:jc w:val="both"/>
      </w:pPr>
      <w:r>
        <w:t>‘</w:t>
      </w:r>
      <w:r w:rsidRPr="006E1F00">
        <w:t>You try to work it so that somebody who has an official position where they have themselves do something on behalf of the House as a whole, you work it around so that they have the benefit of your advice. And sometimes, it means, you know, a clerk passing on your advice to a committee that actually isn’t your client at all</w:t>
      </w:r>
      <w:r>
        <w:t>,</w:t>
      </w:r>
      <w:r w:rsidRPr="006E1F00">
        <w:t xml:space="preserve"> </w:t>
      </w:r>
      <w:r w:rsidRPr="006E1F00">
        <w:lastRenderedPageBreak/>
        <w:t>because once in a blue moon, they want some legal advice. Well, of course, you give it.</w:t>
      </w:r>
      <w:r>
        <w:t>’</w:t>
      </w:r>
      <w:r>
        <w:rPr>
          <w:rStyle w:val="FootnoteReference"/>
        </w:rPr>
        <w:footnoteReference w:id="121"/>
      </w:r>
    </w:p>
    <w:p w14:paraId="53C32CF8" w14:textId="77777777" w:rsidR="00561809" w:rsidRDefault="00561809" w:rsidP="00691195">
      <w:pPr>
        <w:pStyle w:val="NoSpacing"/>
        <w:jc w:val="both"/>
      </w:pPr>
    </w:p>
    <w:p w14:paraId="01A0F7FF" w14:textId="3C4B40BE" w:rsidR="00561809" w:rsidRDefault="00561809" w:rsidP="00691195">
      <w:pPr>
        <w:pStyle w:val="NoSpacing"/>
        <w:jc w:val="both"/>
      </w:pPr>
      <w:r>
        <w:t>Similarly, one clerk explained that parliamentary lawyers provide advice in the knowledge that the clerks will ‘</w:t>
      </w:r>
      <w:r w:rsidRPr="00DB5E15">
        <w:t>circulate it to a fair number of people</w:t>
      </w:r>
      <w:r>
        <w:t>’</w:t>
      </w:r>
      <w:r>
        <w:rPr>
          <w:rStyle w:val="FootnoteReference"/>
        </w:rPr>
        <w:footnoteReference w:id="122"/>
      </w:r>
      <w:r>
        <w:t xml:space="preserve"> internally. The sharing of legal advice, they suggested, is perceived as ‘</w:t>
      </w:r>
      <w:r w:rsidRPr="00875529">
        <w:t>communications between colleagues</w:t>
      </w:r>
      <w:r>
        <w:t>’</w:t>
      </w:r>
      <w:r>
        <w:rPr>
          <w:rStyle w:val="FootnoteReference"/>
        </w:rPr>
        <w:footnoteReference w:id="123"/>
      </w:r>
      <w:r>
        <w:t xml:space="preserve"> rather than the disclosure of confidential advice. This informality allows parliamentary lawyers to bypass the difficulty of identifying who is entitled to waive confidentiality, and maintain what Kennon has described as </w:t>
      </w:r>
      <w:r w:rsidRPr="00B800AC">
        <w:t>‘a culture in which lawyers are willing within a small organisation to help out wherever required’</w:t>
      </w:r>
      <w:r>
        <w:t>.</w:t>
      </w:r>
      <w:r>
        <w:rPr>
          <w:rStyle w:val="FootnoteReference"/>
        </w:rPr>
        <w:footnoteReference w:id="124"/>
      </w:r>
      <w:r>
        <w:t xml:space="preserve"> </w:t>
      </w:r>
      <w:r w:rsidR="00B766AD">
        <w:t>T</w:t>
      </w:r>
      <w:r>
        <w:t xml:space="preserve">he problems of client waiver involved in publishing legal advice would make such arrangements difficult to maintain. </w:t>
      </w:r>
    </w:p>
    <w:p w14:paraId="17569335" w14:textId="77777777" w:rsidR="00561809" w:rsidRDefault="00561809" w:rsidP="00691195">
      <w:pPr>
        <w:pStyle w:val="NoSpacing"/>
        <w:jc w:val="both"/>
      </w:pPr>
    </w:p>
    <w:p w14:paraId="6F5A1A1D" w14:textId="7EB76BAA" w:rsidR="00561809" w:rsidRDefault="005057DA" w:rsidP="00691195">
      <w:pPr>
        <w:pStyle w:val="NoSpacing"/>
        <w:jc w:val="both"/>
      </w:pPr>
      <w:r>
        <w:t xml:space="preserve">In summary, </w:t>
      </w:r>
      <w:r w:rsidR="00561809">
        <w:t xml:space="preserve">interviews revealed that the prospect of publication tugs at the various client loyalties of parliamentary lawyers in Westminster. Like clerks, parliamentary lawyers recognised the autonomy of the committee to evaluate and make use of their advice in whatever way they deem appropriate. However, this was tempered by a resistance to any development which could affect their ability to fulfil their obligations across the legislature as a </w:t>
      </w:r>
      <w:r w:rsidR="00561809" w:rsidRPr="00FB4A90">
        <w:t xml:space="preserve">whole. </w:t>
      </w:r>
      <w:r w:rsidR="00561809">
        <w:t>This finding reinforces US scholarship on the work of legislative lawyers. Like Westminster lawyers, congressional and state-level legislative lawyers often view their role through the lawyer-client framework.</w:t>
      </w:r>
      <w:r w:rsidR="00561809">
        <w:rPr>
          <w:rStyle w:val="FootnoteReference"/>
        </w:rPr>
        <w:footnoteReference w:id="125"/>
      </w:r>
      <w:r w:rsidR="00561809" w:rsidRPr="00E82FC4">
        <w:t xml:space="preserve"> </w:t>
      </w:r>
      <w:r w:rsidR="00561809">
        <w:t>But there is disagreement as to whether the loyalty of these actors is owed to particular officials, committees or the legislature as a whole</w:t>
      </w:r>
      <w:r w:rsidR="00CD5986">
        <w:t>,</w:t>
      </w:r>
      <w:r w:rsidR="00561809">
        <w:t xml:space="preserve"> </w:t>
      </w:r>
      <w:r w:rsidR="00CD5986">
        <w:t>and s</w:t>
      </w:r>
      <w:r w:rsidR="00561809">
        <w:t>cholars have noted explicitly the difficulties which this poses for client confidentiality.</w:t>
      </w:r>
      <w:r w:rsidR="00561809">
        <w:rPr>
          <w:rStyle w:val="FootnoteReference"/>
          <w:rFonts w:cstheme="minorHAnsi"/>
        </w:rPr>
        <w:footnoteReference w:id="126"/>
      </w:r>
      <w:r w:rsidR="00561809">
        <w:t xml:space="preserve"> </w:t>
      </w:r>
    </w:p>
    <w:p w14:paraId="6EA8C946" w14:textId="77777777" w:rsidR="00561809" w:rsidRDefault="00561809" w:rsidP="00691195">
      <w:pPr>
        <w:pStyle w:val="NoSpacing"/>
        <w:jc w:val="both"/>
        <w:rPr>
          <w:rFonts w:cstheme="minorHAnsi"/>
        </w:rPr>
      </w:pPr>
    </w:p>
    <w:p w14:paraId="5C3E78E4" w14:textId="5DF0DD70" w:rsidR="00561809" w:rsidRPr="00DF424C" w:rsidRDefault="007D2B8A" w:rsidP="00691195">
      <w:pPr>
        <w:pStyle w:val="NoSpacing"/>
        <w:jc w:val="both"/>
        <w:rPr>
          <w:i/>
        </w:rPr>
      </w:pPr>
      <w:r>
        <w:rPr>
          <w:i/>
        </w:rPr>
        <w:t>d</w:t>
      </w:r>
      <w:r w:rsidR="00561809" w:rsidRPr="00DF424C">
        <w:rPr>
          <w:i/>
        </w:rPr>
        <w:t>. The politicisation of legislative staff and their work</w:t>
      </w:r>
    </w:p>
    <w:p w14:paraId="63B0A369" w14:textId="66B68855" w:rsidR="00561809" w:rsidRDefault="00C16419" w:rsidP="00691195">
      <w:pPr>
        <w:pStyle w:val="NoSpacing"/>
        <w:jc w:val="both"/>
      </w:pPr>
      <w:r>
        <w:t>A final concern, shared by c</w:t>
      </w:r>
      <w:r w:rsidR="00561809" w:rsidRPr="00065431">
        <w:t>lerks and parliamentary lawyers</w:t>
      </w:r>
      <w:r>
        <w:t>,</w:t>
      </w:r>
      <w:r w:rsidR="00561809" w:rsidRPr="00065431">
        <w:t xml:space="preserve"> </w:t>
      </w:r>
      <w:r>
        <w:t xml:space="preserve">was that </w:t>
      </w:r>
      <w:r w:rsidR="00561809" w:rsidRPr="00171A47">
        <w:t xml:space="preserve">publishing advice could </w:t>
      </w:r>
      <w:r w:rsidR="00561809" w:rsidRPr="00706BA4">
        <w:t>politicise</w:t>
      </w:r>
      <w:r w:rsidR="00561809" w:rsidRPr="00065431">
        <w:t xml:space="preserve"> their work</w:t>
      </w:r>
      <w:r w:rsidR="00561809">
        <w:t>,</w:t>
      </w:r>
      <w:r w:rsidR="00561809" w:rsidRPr="00065431">
        <w:t xml:space="preserve"> and thereby threaten the perception of their</w:t>
      </w:r>
      <w:r w:rsidR="00561809" w:rsidRPr="009660D2">
        <w:t xml:space="preserve"> </w:t>
      </w:r>
      <w:r w:rsidR="00561809" w:rsidRPr="00171A47">
        <w:t xml:space="preserve">impartiality among parliamentarians. This concern should be understood in light of a number of </w:t>
      </w:r>
      <w:r w:rsidR="004073AD">
        <w:t xml:space="preserve">general </w:t>
      </w:r>
      <w:r w:rsidR="00561809" w:rsidRPr="00171A47">
        <w:t>norms and working practices in Westminster.</w:t>
      </w:r>
      <w:r w:rsidR="00561809">
        <w:t xml:space="preserve"> </w:t>
      </w:r>
    </w:p>
    <w:p w14:paraId="0A79D228" w14:textId="77777777" w:rsidR="00561809" w:rsidRDefault="00561809" w:rsidP="00691195">
      <w:pPr>
        <w:pStyle w:val="NoSpacing"/>
        <w:jc w:val="both"/>
      </w:pPr>
    </w:p>
    <w:p w14:paraId="7E80084B" w14:textId="5EFB1C36" w:rsidR="00561809" w:rsidRDefault="00561809" w:rsidP="00691195">
      <w:pPr>
        <w:pStyle w:val="NoSpacing"/>
        <w:jc w:val="both"/>
      </w:pPr>
      <w:r>
        <w:t>First, parliamentary</w:t>
      </w:r>
      <w:r w:rsidRPr="00EA2042">
        <w:t xml:space="preserve"> officials have a duty of impartiality to members. One clerk explained</w:t>
      </w:r>
      <w:r>
        <w:t xml:space="preserve"> that</w:t>
      </w:r>
      <w:r w:rsidRPr="00EA2042">
        <w:t xml:space="preserve"> impartiality must be ‘demonstrate[d] to members. ... [A]s long as they're content that it’s impartial ... then, that’s me doing my job’.</w:t>
      </w:r>
      <w:r>
        <w:rPr>
          <w:rStyle w:val="FootnoteReference"/>
        </w:rPr>
        <w:footnoteReference w:id="127"/>
      </w:r>
      <w:r>
        <w:t xml:space="preserve"> Demonstrating this impartiality to parliamentarians, however, presents challenges. On the one hand, one lawyer suggested that it requires staff to be</w:t>
      </w:r>
      <w:r w:rsidRPr="00EA2042">
        <w:t xml:space="preserve"> </w:t>
      </w:r>
      <w:r>
        <w:t>‘</w:t>
      </w:r>
      <w:r w:rsidRPr="00EA2042">
        <w:t>overtly apolitical</w:t>
      </w:r>
      <w:r>
        <w:t xml:space="preserve">’: </w:t>
      </w:r>
    </w:p>
    <w:p w14:paraId="10CB1531" w14:textId="77777777" w:rsidR="00561809" w:rsidRDefault="00561809" w:rsidP="00691195">
      <w:pPr>
        <w:pStyle w:val="NoSpacing"/>
        <w:jc w:val="both"/>
      </w:pPr>
    </w:p>
    <w:p w14:paraId="59F8BAA9" w14:textId="77777777" w:rsidR="00561809" w:rsidRDefault="00561809" w:rsidP="00691195">
      <w:pPr>
        <w:pStyle w:val="NoSpacing"/>
        <w:ind w:left="720"/>
        <w:jc w:val="both"/>
      </w:pPr>
      <w:r>
        <w:lastRenderedPageBreak/>
        <w:t>‘</w:t>
      </w:r>
      <w:r w:rsidRPr="00EA2042">
        <w:t>You've just got to show that you show no leanings at all one way or the othe</w:t>
      </w:r>
      <w:r>
        <w:t>r</w:t>
      </w:r>
      <w:r w:rsidRPr="00EA2042">
        <w:t xml:space="preserve"> because MPs, and peers as well, will pick up very quickly if you have</w:t>
      </w:r>
      <w:r>
        <w:t>,</w:t>
      </w:r>
      <w:r w:rsidRPr="00EA2042">
        <w:t xml:space="preserve"> and you los</w:t>
      </w:r>
      <w:r>
        <w:t>e your credibility very quickly’.</w:t>
      </w:r>
      <w:r>
        <w:rPr>
          <w:rStyle w:val="FootnoteReference"/>
        </w:rPr>
        <w:footnoteReference w:id="128"/>
      </w:r>
      <w:r w:rsidRPr="00F9078E">
        <w:t xml:space="preserve"> </w:t>
      </w:r>
    </w:p>
    <w:p w14:paraId="361DD8A3" w14:textId="77777777" w:rsidR="00561809" w:rsidRDefault="00561809" w:rsidP="00691195">
      <w:pPr>
        <w:pStyle w:val="NoSpacing"/>
        <w:jc w:val="both"/>
      </w:pPr>
    </w:p>
    <w:p w14:paraId="320CA6A1" w14:textId="77777777" w:rsidR="00561809" w:rsidRPr="0058404E" w:rsidRDefault="00561809" w:rsidP="00691195">
      <w:pPr>
        <w:pStyle w:val="NoSpacing"/>
        <w:jc w:val="both"/>
      </w:pPr>
      <w:r>
        <w:t xml:space="preserve">Similarly, </w:t>
      </w:r>
      <w:r w:rsidRPr="00027A9A">
        <w:t xml:space="preserve">Donald and Leach </w:t>
      </w:r>
      <w:r>
        <w:t>cite</w:t>
      </w:r>
      <w:r w:rsidRPr="00027A9A">
        <w:t xml:space="preserve"> a former legal adviser to the Joint Committee on Human Rights</w:t>
      </w:r>
      <w:r>
        <w:t>:</w:t>
      </w:r>
      <w:r w:rsidRPr="00027A9A">
        <w:t xml:space="preserve"> ‘[t]he minute [parliamentarians] think the advice reflects [the adviser’s] own take on politically important questions, they start to distrust [it]’.</w:t>
      </w:r>
      <w:r>
        <w:rPr>
          <w:rStyle w:val="FootnoteReference"/>
        </w:rPr>
        <w:footnoteReference w:id="129"/>
      </w:r>
      <w:r w:rsidRPr="00027A9A">
        <w:t xml:space="preserve"> </w:t>
      </w:r>
      <w:r>
        <w:t>At the same time, several interviewees explained that staff must build trust by being ‘responsive’</w:t>
      </w:r>
      <w:r>
        <w:rPr>
          <w:rStyle w:val="FootnoteReference"/>
        </w:rPr>
        <w:footnoteReference w:id="130"/>
      </w:r>
      <w:r>
        <w:t xml:space="preserve"> to parliamentarians of all persuasions.</w:t>
      </w:r>
      <w:r>
        <w:rPr>
          <w:rStyle w:val="FootnoteReference"/>
        </w:rPr>
        <w:footnoteReference w:id="131"/>
      </w:r>
      <w:r>
        <w:t xml:space="preserve"> In the intensely political environment of Parliament, staff must work hard to both establish and maintain the perception of their impartiality among members. </w:t>
      </w:r>
    </w:p>
    <w:p w14:paraId="2A6137EB" w14:textId="77777777" w:rsidR="00561809" w:rsidRDefault="00561809" w:rsidP="00691195">
      <w:pPr>
        <w:pStyle w:val="NoSpacing"/>
        <w:jc w:val="both"/>
      </w:pPr>
    </w:p>
    <w:p w14:paraId="6EAB0C82" w14:textId="6888A0D9" w:rsidR="00561809" w:rsidRDefault="00561809" w:rsidP="00691195">
      <w:pPr>
        <w:pStyle w:val="NoSpacing"/>
        <w:jc w:val="both"/>
      </w:pPr>
      <w:r w:rsidRPr="00B25982">
        <w:t xml:space="preserve">Second, staff </w:t>
      </w:r>
      <w:r>
        <w:t xml:space="preserve">interviewed indicated that they considered their place to be in the background of a committee’s work, and </w:t>
      </w:r>
      <w:r w:rsidRPr="00B25982">
        <w:t>expect</w:t>
      </w:r>
      <w:r>
        <w:t>ed</w:t>
      </w:r>
      <w:r w:rsidRPr="00B25982">
        <w:t xml:space="preserve"> committee members </w:t>
      </w:r>
      <w:r>
        <w:t xml:space="preserve">to </w:t>
      </w:r>
      <w:r w:rsidRPr="00B25982">
        <w:t>take political responsibility for the conclusions and recommenda</w:t>
      </w:r>
      <w:r>
        <w:t xml:space="preserve">tions offered in reports. This was a key aspect of committee autonomy: staff </w:t>
      </w:r>
      <w:r w:rsidRPr="00F50357">
        <w:t>advise</w:t>
      </w:r>
      <w:r w:rsidR="00485033">
        <w:t xml:space="preserve">, </w:t>
      </w:r>
      <w:r>
        <w:t xml:space="preserve">members </w:t>
      </w:r>
      <w:r w:rsidRPr="00F50357">
        <w:t>decide</w:t>
      </w:r>
      <w:r>
        <w:rPr>
          <w:i/>
        </w:rPr>
        <w:t>.</w:t>
      </w:r>
      <w:r>
        <w:t xml:space="preserve"> But this practice was also a means of maintaining staff impartiality. One clerk described this as the ‘committee filter’:</w:t>
      </w:r>
      <w:r>
        <w:rPr>
          <w:rStyle w:val="FootnoteReference"/>
        </w:rPr>
        <w:footnoteReference w:id="132"/>
      </w:r>
    </w:p>
    <w:p w14:paraId="634F5875" w14:textId="77777777" w:rsidR="00691195" w:rsidRDefault="00691195" w:rsidP="00691195">
      <w:pPr>
        <w:pStyle w:val="NoSpacing"/>
        <w:jc w:val="both"/>
        <w:rPr>
          <w:rFonts w:ascii="Calibri" w:hAnsi="Calibri" w:cs="Calibri"/>
          <w:color w:val="000000"/>
        </w:rPr>
      </w:pPr>
    </w:p>
    <w:p w14:paraId="330BC4C6" w14:textId="77777777" w:rsidR="00561809" w:rsidRDefault="00561809" w:rsidP="00691195">
      <w:pPr>
        <w:pStyle w:val="NoSpacing"/>
        <w:ind w:left="720"/>
        <w:jc w:val="both"/>
      </w:pPr>
      <w:r>
        <w:rPr>
          <w:rFonts w:ascii="Calibri" w:hAnsi="Calibri" w:cs="Calibri"/>
          <w:color w:val="000000"/>
        </w:rPr>
        <w:t>‘</w:t>
      </w:r>
      <w:r w:rsidRPr="002A4EBD">
        <w:rPr>
          <w:rFonts w:ascii="Calibri" w:hAnsi="Calibri" w:cs="Calibri"/>
          <w:color w:val="000000"/>
        </w:rPr>
        <w:t xml:space="preserve">The government </w:t>
      </w:r>
      <w:r>
        <w:rPr>
          <w:rFonts w:ascii="Calibri" w:hAnsi="Calibri" w:cs="Calibri"/>
          <w:color w:val="000000"/>
        </w:rPr>
        <w:t xml:space="preserve">[would] </w:t>
      </w:r>
      <w:r w:rsidRPr="002A4EBD">
        <w:rPr>
          <w:rFonts w:ascii="Calibri" w:hAnsi="Calibri" w:cs="Calibri"/>
          <w:color w:val="000000"/>
        </w:rPr>
        <w:t xml:space="preserve">really get annoyed if the House was giving advice contrary to government lawyers, it would get very politicised very quickly...   </w:t>
      </w:r>
      <w:r>
        <w:t>[I]</w:t>
      </w:r>
      <w:r w:rsidRPr="00A0019A">
        <w:t>f you do it through the prism of the committee, you’ve got a cross party committee receiving the legal advice ..., choosing what they want to publish and putting it out to the House and saying either we do some amendments in this area or something. So, I think the committee…filter, it’s quite a good one.</w:t>
      </w:r>
      <w:r>
        <w:t>’</w:t>
      </w:r>
      <w:r>
        <w:rPr>
          <w:rStyle w:val="FootnoteReference"/>
        </w:rPr>
        <w:footnoteReference w:id="133"/>
      </w:r>
      <w:r w:rsidRPr="00A0019A">
        <w:t xml:space="preserve"> </w:t>
      </w:r>
    </w:p>
    <w:p w14:paraId="0D327215" w14:textId="77777777" w:rsidR="00691195" w:rsidRPr="00A0019A" w:rsidRDefault="00691195" w:rsidP="00691195">
      <w:pPr>
        <w:pStyle w:val="NoSpacing"/>
        <w:jc w:val="both"/>
      </w:pPr>
    </w:p>
    <w:p w14:paraId="6588A8FC" w14:textId="52BBECCD" w:rsidR="00561809" w:rsidRPr="00CA45FB" w:rsidRDefault="00561809" w:rsidP="00691195">
      <w:pPr>
        <w:pStyle w:val="NoSpacing"/>
        <w:jc w:val="both"/>
      </w:pPr>
      <w:r w:rsidRPr="00EC415A">
        <w:t xml:space="preserve">Thus, committee consensus and the general practice of integrating advice into committee reports </w:t>
      </w:r>
      <w:r w:rsidR="004073AD">
        <w:t xml:space="preserve">were regarded by staff as </w:t>
      </w:r>
      <w:r w:rsidRPr="00EC415A">
        <w:t>help</w:t>
      </w:r>
      <w:r w:rsidR="004073AD">
        <w:t>ing</w:t>
      </w:r>
      <w:r w:rsidRPr="00EC415A">
        <w:t xml:space="preserve"> </w:t>
      </w:r>
      <w:r w:rsidR="004073AD">
        <w:t xml:space="preserve">to </w:t>
      </w:r>
      <w:r w:rsidRPr="00EC415A">
        <w:t>de-politicise</w:t>
      </w:r>
      <w:r w:rsidR="00E21F93">
        <w:t xml:space="preserve"> their contribution</w:t>
      </w:r>
      <w:r w:rsidRPr="00EC415A">
        <w:t>.</w:t>
      </w:r>
      <w:r>
        <w:t xml:space="preserve"> </w:t>
      </w:r>
    </w:p>
    <w:p w14:paraId="46C7A935" w14:textId="77777777" w:rsidR="00561809" w:rsidRDefault="00561809" w:rsidP="00691195">
      <w:pPr>
        <w:pStyle w:val="NoSpacing"/>
        <w:jc w:val="both"/>
      </w:pPr>
    </w:p>
    <w:p w14:paraId="74B3320A" w14:textId="37169E4E" w:rsidR="00561809" w:rsidRDefault="00C106BA" w:rsidP="00691195">
      <w:pPr>
        <w:pStyle w:val="NoSpacing"/>
        <w:jc w:val="both"/>
      </w:pPr>
      <w:r>
        <w:t>Against this background, p</w:t>
      </w:r>
      <w:r w:rsidR="00561809">
        <w:t xml:space="preserve">ublishing legal advice </w:t>
      </w:r>
      <w:r w:rsidR="00561809" w:rsidRPr="00DB27AF">
        <w:t xml:space="preserve">was considered to </w:t>
      </w:r>
      <w:r w:rsidR="00691195">
        <w:t>risk</w:t>
      </w:r>
      <w:r w:rsidR="00561809">
        <w:t xml:space="preserve"> staff politicisation. Several clerks and lawyers felt that the exposure of staff </w:t>
      </w:r>
      <w:r w:rsidR="00561809" w:rsidRPr="00306EAE">
        <w:t xml:space="preserve">work </w:t>
      </w:r>
      <w:r w:rsidR="00561809">
        <w:t xml:space="preserve">would subject them </w:t>
      </w:r>
      <w:r w:rsidR="00561809" w:rsidRPr="00306EAE">
        <w:t xml:space="preserve">to a greater risk of </w:t>
      </w:r>
      <w:r w:rsidR="00561809">
        <w:t xml:space="preserve">political </w:t>
      </w:r>
      <w:r w:rsidR="00561809" w:rsidRPr="00306EAE">
        <w:t>criticism</w:t>
      </w:r>
      <w:r w:rsidR="004F428E">
        <w:t xml:space="preserve"> </w:t>
      </w:r>
      <w:r w:rsidR="00561809">
        <w:t xml:space="preserve">undermining </w:t>
      </w:r>
      <w:r w:rsidR="00561809" w:rsidRPr="00306EAE">
        <w:t xml:space="preserve">the perception of their </w:t>
      </w:r>
      <w:r w:rsidR="00561809">
        <w:t>non-political status among members, crucial for the performance of their roles:</w:t>
      </w:r>
    </w:p>
    <w:p w14:paraId="30240EEA" w14:textId="77777777" w:rsidR="00691195" w:rsidRDefault="00691195" w:rsidP="00691195">
      <w:pPr>
        <w:pStyle w:val="NoSpacing"/>
        <w:jc w:val="both"/>
      </w:pPr>
    </w:p>
    <w:p w14:paraId="19939708" w14:textId="77777777" w:rsidR="00561809" w:rsidRDefault="00561809" w:rsidP="00691195">
      <w:pPr>
        <w:pStyle w:val="NoSpacing"/>
        <w:ind w:left="720"/>
        <w:jc w:val="both"/>
      </w:pPr>
      <w:r>
        <w:t>‘</w:t>
      </w:r>
      <w:r w:rsidRPr="00336D8F">
        <w:t>...</w:t>
      </w:r>
      <w:r w:rsidRPr="00210795">
        <w:t xml:space="preserve">There is a risk around exposing too much </w:t>
      </w:r>
      <w:r>
        <w:t xml:space="preserve">[of] </w:t>
      </w:r>
      <w:r w:rsidRPr="00210795">
        <w:t>the advice which committees receive, because it will encourage people unhappy with the way the committee is going to direct their fire at the advisers rather than at the committee, which will make it very hard for the committee to get work done</w:t>
      </w:r>
      <w:r>
        <w:t>...’</w:t>
      </w:r>
      <w:r>
        <w:rPr>
          <w:rStyle w:val="FootnoteReference"/>
        </w:rPr>
        <w:footnoteReference w:id="134"/>
      </w:r>
      <w:r>
        <w:t xml:space="preserve"> </w:t>
      </w:r>
    </w:p>
    <w:p w14:paraId="76016F9F" w14:textId="77777777" w:rsidR="00691195" w:rsidRDefault="00691195" w:rsidP="00691195">
      <w:pPr>
        <w:pStyle w:val="NoSpacing"/>
        <w:ind w:left="720"/>
        <w:jc w:val="both"/>
      </w:pPr>
    </w:p>
    <w:p w14:paraId="4E15C8E0" w14:textId="4CD7F6D2" w:rsidR="00561809" w:rsidRDefault="00561809" w:rsidP="00691195">
      <w:pPr>
        <w:pStyle w:val="NoSpacing"/>
        <w:ind w:left="720"/>
        <w:jc w:val="both"/>
      </w:pPr>
      <w:r>
        <w:t>‘</w:t>
      </w:r>
      <w:r w:rsidRPr="002C3D04">
        <w:t xml:space="preserve">I’ve also got reservations </w:t>
      </w:r>
      <w:r>
        <w:t xml:space="preserve">about it being published. ...[I]t </w:t>
      </w:r>
      <w:r w:rsidRPr="005C0401">
        <w:t>encourages t</w:t>
      </w:r>
      <w:r>
        <w:t xml:space="preserve">he sort of lawyer shopping idea ... </w:t>
      </w:r>
      <w:r w:rsidRPr="005C0401">
        <w:t xml:space="preserve">People say, how </w:t>
      </w:r>
      <w:proofErr w:type="spellStart"/>
      <w:r w:rsidRPr="005C0401">
        <w:t>big’s</w:t>
      </w:r>
      <w:proofErr w:type="spellEnd"/>
      <w:r w:rsidRPr="005C0401">
        <w:t xml:space="preserve"> your QC compared to their QC?  The legal advice shouldn’t become itself an issue. It should be facilitating discussion and debate and therefore, it shouldn’t become an issue about what the legal advice is </w:t>
      </w:r>
      <w:r w:rsidR="001275EF">
        <w:t>…</w:t>
      </w:r>
      <w:r w:rsidRPr="005C0401">
        <w:t>.</w:t>
      </w:r>
      <w:r>
        <w:t>’</w:t>
      </w:r>
      <w:r>
        <w:rPr>
          <w:rStyle w:val="FootnoteReference"/>
        </w:rPr>
        <w:footnoteReference w:id="135"/>
      </w:r>
      <w:r>
        <w:t xml:space="preserve"> </w:t>
      </w:r>
    </w:p>
    <w:p w14:paraId="725CED10" w14:textId="77777777" w:rsidR="00691195" w:rsidRDefault="00691195" w:rsidP="00691195">
      <w:pPr>
        <w:pStyle w:val="NoSpacing"/>
        <w:jc w:val="both"/>
        <w:rPr>
          <w:rFonts w:cstheme="minorHAnsi"/>
        </w:rPr>
      </w:pPr>
    </w:p>
    <w:p w14:paraId="02225FD6" w14:textId="3F4BC9E3" w:rsidR="009713AC" w:rsidRDefault="00561809" w:rsidP="00691195">
      <w:pPr>
        <w:pStyle w:val="NoSpacing"/>
        <w:jc w:val="both"/>
      </w:pPr>
      <w:r w:rsidRPr="006558C7">
        <w:t xml:space="preserve">Thus, for clerks and lawyers alike, publishing advice potentially strips legislative staff of the protection of the committee ‘filter’, </w:t>
      </w:r>
      <w:r w:rsidR="004F428E" w:rsidRPr="004F428E">
        <w:rPr>
          <w:highlight w:val="yellow"/>
        </w:rPr>
        <w:t>opens the legal advice up to challenge (particularly if it clashed with the established government position)</w:t>
      </w:r>
      <w:r w:rsidR="004F428E">
        <w:t xml:space="preserve"> </w:t>
      </w:r>
      <w:r w:rsidRPr="006558C7">
        <w:t xml:space="preserve">and risks muddying the lines of political responsibility. </w:t>
      </w:r>
      <w:r w:rsidR="005C1A01">
        <w:t>From the perspective</w:t>
      </w:r>
      <w:r w:rsidR="009846D2" w:rsidRPr="009846D2">
        <w:t xml:space="preserve"> </w:t>
      </w:r>
      <w:r w:rsidR="009846D2">
        <w:t>of lawyers</w:t>
      </w:r>
      <w:r w:rsidR="005C1A01">
        <w:t xml:space="preserve">, however, publication </w:t>
      </w:r>
      <w:r w:rsidR="005C1A01" w:rsidRPr="006558C7">
        <w:t>also breaches a core aspect of the standard conception of the lawyer’s role: that they should not be held responsible for the actions of their clients</w:t>
      </w:r>
      <w:r w:rsidR="005C1A01">
        <w:t xml:space="preserve">. </w:t>
      </w:r>
    </w:p>
    <w:p w14:paraId="0BA855B0" w14:textId="77777777" w:rsidR="009713AC" w:rsidRDefault="009713AC" w:rsidP="00691195">
      <w:pPr>
        <w:pStyle w:val="NoSpacing"/>
        <w:jc w:val="both"/>
      </w:pPr>
    </w:p>
    <w:p w14:paraId="67EEF3E9" w14:textId="610B92DC" w:rsidR="00E80819" w:rsidRPr="00E80819" w:rsidRDefault="005C1A01" w:rsidP="00691195">
      <w:pPr>
        <w:pStyle w:val="NoSpacing"/>
        <w:jc w:val="both"/>
      </w:pPr>
      <w:r>
        <w:t xml:space="preserve">Arguably, these issues </w:t>
      </w:r>
      <w:r w:rsidR="009846D2">
        <w:t>reflect</w:t>
      </w:r>
      <w:r>
        <w:t xml:space="preserve"> what </w:t>
      </w:r>
      <w:proofErr w:type="spellStart"/>
      <w:r>
        <w:t>Weingart</w:t>
      </w:r>
      <w:proofErr w:type="spellEnd"/>
      <w:r>
        <w:t xml:space="preserve"> describes as </w:t>
      </w:r>
      <w:r w:rsidR="00561809">
        <w:t>the ‘inflationary’</w:t>
      </w:r>
      <w:r w:rsidR="00561809">
        <w:rPr>
          <w:rStyle w:val="FootnoteReference"/>
        </w:rPr>
        <w:footnoteReference w:id="136"/>
      </w:r>
      <w:r w:rsidR="00561809">
        <w:t xml:space="preserve"> use of expertise in politics, whereby all opposing sides of a debate seek to support their views with particular forms of </w:t>
      </w:r>
      <w:r w:rsidR="00561809" w:rsidRPr="00DE245F">
        <w:t xml:space="preserve">expert evidence. </w:t>
      </w:r>
      <w:r w:rsidR="00561809">
        <w:t>Such</w:t>
      </w:r>
      <w:r w:rsidR="00561809" w:rsidRPr="00DE245F">
        <w:t xml:space="preserve"> inflation</w:t>
      </w:r>
      <w:r w:rsidR="00561809">
        <w:t xml:space="preserve">ary use </w:t>
      </w:r>
      <w:r w:rsidR="00561809" w:rsidRPr="00DE245F">
        <w:t xml:space="preserve">has the effect of </w:t>
      </w:r>
      <w:r w:rsidR="00561809">
        <w:t xml:space="preserve">undermining </w:t>
      </w:r>
      <w:r w:rsidR="00561809" w:rsidRPr="00DE245F">
        <w:t xml:space="preserve">the </w:t>
      </w:r>
      <w:r w:rsidR="00561809">
        <w:t>objective</w:t>
      </w:r>
      <w:r w:rsidR="00561809" w:rsidRPr="00DE245F">
        <w:t xml:space="preserve"> appearance of </w:t>
      </w:r>
      <w:r w:rsidR="00561809">
        <w:t>expert claims, as they</w:t>
      </w:r>
      <w:r w:rsidR="00561809" w:rsidRPr="00DE245F">
        <w:t xml:space="preserve"> become associated with particular interests or values</w:t>
      </w:r>
      <w:r w:rsidR="00E80819">
        <w:t>.</w:t>
      </w:r>
      <w:r w:rsidR="00E80819">
        <w:rPr>
          <w:rStyle w:val="FootnoteReference"/>
          <w:rFonts w:cstheme="minorHAnsi"/>
        </w:rPr>
        <w:footnoteReference w:id="137"/>
      </w:r>
      <w:r w:rsidR="009846D2">
        <w:t xml:space="preserve"> </w:t>
      </w:r>
      <w:r w:rsidR="00007024">
        <w:t>Viewed in that context</w:t>
      </w:r>
      <w:r w:rsidR="009E16D9">
        <w:t xml:space="preserve">, </w:t>
      </w:r>
      <w:r w:rsidR="002266CD">
        <w:t xml:space="preserve">the concerns expressed by </w:t>
      </w:r>
      <w:r w:rsidR="00E80819">
        <w:t xml:space="preserve">parliamentary lawyers are not simply </w:t>
      </w:r>
      <w:r w:rsidR="002266CD">
        <w:t>about the potential</w:t>
      </w:r>
      <w:r w:rsidR="009E16D9">
        <w:t xml:space="preserve"> </w:t>
      </w:r>
      <w:r w:rsidR="00E80819">
        <w:t xml:space="preserve">legalisation of politics, but also the </w:t>
      </w:r>
      <w:r w:rsidR="002266CD">
        <w:t xml:space="preserve">potential </w:t>
      </w:r>
      <w:r w:rsidR="00E80819">
        <w:t xml:space="preserve">politicisation of law. </w:t>
      </w:r>
    </w:p>
    <w:p w14:paraId="55101346" w14:textId="77777777" w:rsidR="00E80819" w:rsidRPr="00E80819" w:rsidRDefault="00E80819" w:rsidP="00691195">
      <w:pPr>
        <w:pStyle w:val="NoSpacing"/>
        <w:jc w:val="both"/>
        <w:rPr>
          <w:rFonts w:cstheme="minorHAnsi"/>
        </w:rPr>
      </w:pPr>
    </w:p>
    <w:p w14:paraId="3C121760" w14:textId="5376A8DE" w:rsidR="00561809" w:rsidRPr="007D2B8A" w:rsidRDefault="007D2B8A" w:rsidP="007D2B8A">
      <w:pPr>
        <w:pStyle w:val="NoSpacing"/>
        <w:jc w:val="both"/>
        <w:rPr>
          <w:rFonts w:cstheme="minorHAnsi"/>
          <w:i/>
        </w:rPr>
      </w:pPr>
      <w:r>
        <w:rPr>
          <w:rFonts w:cstheme="minorHAnsi"/>
          <w:i/>
        </w:rPr>
        <w:t>3</w:t>
      </w:r>
      <w:r w:rsidR="00561809" w:rsidRPr="007D2B8A">
        <w:rPr>
          <w:rFonts w:cstheme="minorHAnsi"/>
          <w:i/>
        </w:rPr>
        <w:t>. The soft power of parliamentary staff</w:t>
      </w:r>
    </w:p>
    <w:p w14:paraId="72639DBE" w14:textId="77777777" w:rsidR="00A95B93" w:rsidRDefault="00A95B93" w:rsidP="00691195">
      <w:pPr>
        <w:pStyle w:val="NoSpacing"/>
        <w:jc w:val="both"/>
      </w:pPr>
    </w:p>
    <w:p w14:paraId="1D179A44" w14:textId="72897B73" w:rsidR="00561809" w:rsidRDefault="00561809" w:rsidP="00691195">
      <w:pPr>
        <w:pStyle w:val="NoSpacing"/>
        <w:jc w:val="both"/>
      </w:pPr>
      <w:r>
        <w:t xml:space="preserve">Despite the formal autonomy of committees over their use of evidence and information, there is some scope for parliamentary staff to resist the publication of advice. Some clerks and lawyers interviewed </w:t>
      </w:r>
      <w:r w:rsidR="009A0738">
        <w:t xml:space="preserve">said </w:t>
      </w:r>
      <w:r w:rsidRPr="00B64B18">
        <w:t xml:space="preserve">they would </w:t>
      </w:r>
      <w:r>
        <w:t xml:space="preserve">seek </w:t>
      </w:r>
      <w:r w:rsidRPr="00B64B18">
        <w:t>to subtly dissuade parliamen</w:t>
      </w:r>
      <w:r>
        <w:t>tarians from publishing advice. One parliamentary lawyer</w:t>
      </w:r>
      <w:r w:rsidR="00485033">
        <w:t xml:space="preserve"> </w:t>
      </w:r>
      <w:r>
        <w:t>suggested that they ‘</w:t>
      </w:r>
      <w:r w:rsidRPr="00D33D11">
        <w:t>always try to persuade them not to</w:t>
      </w:r>
      <w:r>
        <w:t xml:space="preserve"> [publish]’.</w:t>
      </w:r>
      <w:r>
        <w:rPr>
          <w:rStyle w:val="FootnoteReference"/>
        </w:rPr>
        <w:footnoteReference w:id="138"/>
      </w:r>
      <w:r>
        <w:t xml:space="preserve"> Likewise, a clerk </w:t>
      </w:r>
      <w:r w:rsidR="00485033">
        <w:t>said</w:t>
      </w:r>
      <w:r>
        <w:t>: ‘</w:t>
      </w:r>
      <w:r w:rsidRPr="0023605B">
        <w:t>If I’d been a clerk to a committee who wanted to do that, I’d say</w:t>
      </w:r>
      <w:r>
        <w:t>,</w:t>
      </w:r>
      <w:r w:rsidRPr="0023605B">
        <w:t xml:space="preserve"> let’s not publish a separate doc</w:t>
      </w:r>
      <w:r>
        <w:t>ument, let’s literally take [the]</w:t>
      </w:r>
      <w:r w:rsidRPr="0023605B">
        <w:t xml:space="preserve"> advice and make it part of the reports</w:t>
      </w:r>
      <w:r>
        <w:t>’.</w:t>
      </w:r>
      <w:r>
        <w:rPr>
          <w:rStyle w:val="FootnoteReference"/>
        </w:rPr>
        <w:footnoteReference w:id="139"/>
      </w:r>
      <w:r>
        <w:t xml:space="preserve"> </w:t>
      </w:r>
    </w:p>
    <w:p w14:paraId="2D85D4C2" w14:textId="77777777" w:rsidR="00561809" w:rsidRDefault="00561809" w:rsidP="00691195">
      <w:pPr>
        <w:pStyle w:val="NoSpacing"/>
        <w:jc w:val="both"/>
      </w:pPr>
    </w:p>
    <w:p w14:paraId="023FD6D8" w14:textId="77777777" w:rsidR="00561809" w:rsidRDefault="00561809" w:rsidP="00691195">
      <w:pPr>
        <w:pStyle w:val="NoSpacing"/>
        <w:jc w:val="both"/>
      </w:pPr>
      <w:r>
        <w:t xml:space="preserve">Parliamentarians are, of course, free to ignore such counsel. However, the views of staff can act as a powerful influence over committee decision-making. As one parliamentary lawyer explained: </w:t>
      </w:r>
    </w:p>
    <w:p w14:paraId="6621D111" w14:textId="77777777" w:rsidR="00561809" w:rsidRDefault="00561809" w:rsidP="00691195">
      <w:pPr>
        <w:pStyle w:val="NoSpacing"/>
        <w:jc w:val="both"/>
      </w:pPr>
    </w:p>
    <w:p w14:paraId="3A5E66A6" w14:textId="77777777" w:rsidR="00561809" w:rsidRPr="00A62AD9" w:rsidRDefault="00561809" w:rsidP="00691195">
      <w:pPr>
        <w:pStyle w:val="NoSpacing"/>
        <w:ind w:left="720"/>
        <w:jc w:val="both"/>
      </w:pPr>
      <w:r>
        <w:t>‘[W]</w:t>
      </w:r>
      <w:r w:rsidRPr="00ED7934">
        <w:t xml:space="preserve">hat they normally do </w:t>
      </w:r>
      <w:r>
        <w:t xml:space="preserve">... </w:t>
      </w:r>
      <w:r w:rsidRPr="00ED7934">
        <w:t>is follow your advice and report to the House in the way that you have advised.</w:t>
      </w:r>
      <w:r>
        <w:t xml:space="preserve"> </w:t>
      </w:r>
      <w:r w:rsidRPr="00A62AD9">
        <w:t>… [T]here’s never a situation where you advise them strongly to do X and they won't do it.</w:t>
      </w:r>
      <w:r>
        <w:t xml:space="preserve"> Because it just doesn’t arise.’</w:t>
      </w:r>
      <w:r w:rsidRPr="00A62AD9">
        <w:rPr>
          <w:rStyle w:val="FootnoteReference"/>
        </w:rPr>
        <w:footnoteReference w:id="140"/>
      </w:r>
      <w:r w:rsidRPr="00A62AD9">
        <w:t xml:space="preserve">  </w:t>
      </w:r>
    </w:p>
    <w:p w14:paraId="5294C73E" w14:textId="77777777" w:rsidR="00561809" w:rsidRDefault="00561809" w:rsidP="00691195">
      <w:pPr>
        <w:pStyle w:val="NoSpacing"/>
        <w:jc w:val="both"/>
        <w:rPr>
          <w:color w:val="FF0000"/>
        </w:rPr>
      </w:pPr>
    </w:p>
    <w:p w14:paraId="30AC86AB" w14:textId="0CD36B29" w:rsidR="00561809" w:rsidRDefault="00561809" w:rsidP="00691195">
      <w:pPr>
        <w:pStyle w:val="NoSpacing"/>
        <w:jc w:val="both"/>
      </w:pPr>
      <w:r>
        <w:lastRenderedPageBreak/>
        <w:t>This underlines the influence of legal advisers in particular Westminster committee settings noted by various authors.</w:t>
      </w:r>
      <w:r>
        <w:rPr>
          <w:rStyle w:val="FootnoteReference"/>
        </w:rPr>
        <w:footnoteReference w:id="141"/>
      </w:r>
      <w:r>
        <w:t xml:space="preserve"> It is also consistent with research on the influence of legislative staff.</w:t>
      </w:r>
      <w:r>
        <w:rPr>
          <w:rStyle w:val="FootnoteReference"/>
        </w:rPr>
        <w:footnoteReference w:id="142"/>
      </w:r>
      <w:r>
        <w:t xml:space="preserve"> Staff </w:t>
      </w:r>
      <w:r w:rsidR="007C138D">
        <w:t>may not</w:t>
      </w:r>
      <w:r>
        <w:t xml:space="preserve"> only</w:t>
      </w:r>
      <w:r w:rsidR="007C138D">
        <w:t xml:space="preserve"> be</w:t>
      </w:r>
      <w:r>
        <w:t xml:space="preserve"> influential in their areas of expertise. </w:t>
      </w:r>
      <w:r w:rsidR="003C2662">
        <w:t xml:space="preserve">They </w:t>
      </w:r>
      <w:r>
        <w:t>may exercise a kind of soft power within the committee setting, a power which is rooted in their particular expertise but also extends beyond it. Turner suggests expert claims may invite deference from non-expert audiences.</w:t>
      </w:r>
      <w:r>
        <w:rPr>
          <w:rStyle w:val="FootnoteReference"/>
        </w:rPr>
        <w:footnoteReference w:id="143"/>
      </w:r>
      <w:r>
        <w:t xml:space="preserve"> Thus, experts </w:t>
      </w:r>
      <w:r w:rsidR="007C138D">
        <w:t>may be accorded ‘cognitive authority’, which</w:t>
      </w:r>
      <w:r>
        <w:t xml:space="preserve"> can also extend to the ‘penumbra’ of their expertise.</w:t>
      </w:r>
      <w:r>
        <w:rPr>
          <w:rStyle w:val="FootnoteReference"/>
        </w:rPr>
        <w:footnoteReference w:id="144"/>
      </w:r>
      <w:r>
        <w:t xml:space="preserve"> </w:t>
      </w:r>
    </w:p>
    <w:p w14:paraId="65B70C3C" w14:textId="77777777" w:rsidR="00561809" w:rsidRDefault="00561809" w:rsidP="00691195">
      <w:pPr>
        <w:pStyle w:val="NoSpacing"/>
        <w:jc w:val="both"/>
      </w:pPr>
    </w:p>
    <w:p w14:paraId="3A5D49E4" w14:textId="77777777" w:rsidR="00561809" w:rsidRDefault="00561809" w:rsidP="00691195">
      <w:pPr>
        <w:pStyle w:val="NoSpacing"/>
        <w:jc w:val="both"/>
      </w:pPr>
      <w:r>
        <w:t xml:space="preserve">Thus, clerks and parliamentary lawyers arguably enjoy cognitive authority not only in relation to their respective procedural and legal expertise, but also in relation to issues in the penumbra of those areas, such as the publication of legal advice. Indeed, the </w:t>
      </w:r>
      <w:r w:rsidRPr="00415A22">
        <w:t xml:space="preserve">rarity of </w:t>
      </w:r>
      <w:r>
        <w:t>legal</w:t>
      </w:r>
      <w:r w:rsidRPr="00415A22">
        <w:t xml:space="preserve"> advice being published separately, even by committees with a legal remit, </w:t>
      </w:r>
      <w:r>
        <w:t>suggests</w:t>
      </w:r>
      <w:r w:rsidRPr="00415A22">
        <w:t xml:space="preserve"> an important staff influence</w:t>
      </w:r>
      <w:r>
        <w:t xml:space="preserve"> at work</w:t>
      </w:r>
      <w:r w:rsidRPr="00415A22">
        <w:t xml:space="preserve">. </w:t>
      </w:r>
      <w:r>
        <w:t xml:space="preserve">It would appear that committee members can be </w:t>
      </w:r>
      <w:r w:rsidRPr="00B64B18">
        <w:t xml:space="preserve">constrained </w:t>
      </w:r>
      <w:r>
        <w:t xml:space="preserve">from publishing legal advice in the pursuit of short-term political gain </w:t>
      </w:r>
      <w:r w:rsidRPr="00B64B18">
        <w:t>by</w:t>
      </w:r>
      <w:r>
        <w:t xml:space="preserve"> the long-term, institutional responsibilities of the staff. In short, parliamentary staff can act as a soft constraint on committee autonomy</w:t>
      </w:r>
      <w:r w:rsidRPr="00B64B18">
        <w:t>.</w:t>
      </w:r>
    </w:p>
    <w:p w14:paraId="27E87F7B" w14:textId="77777777" w:rsidR="00561809" w:rsidRDefault="00561809" w:rsidP="00691195">
      <w:pPr>
        <w:pStyle w:val="NoSpacing"/>
        <w:jc w:val="both"/>
      </w:pPr>
    </w:p>
    <w:p w14:paraId="282A2578" w14:textId="0E656B09" w:rsidR="00691195" w:rsidRPr="00691195" w:rsidRDefault="007D2B8A" w:rsidP="00A95B93">
      <w:pPr>
        <w:pStyle w:val="NoSpacing"/>
        <w:jc w:val="center"/>
        <w:rPr>
          <w:b/>
        </w:rPr>
      </w:pPr>
      <w:r>
        <w:rPr>
          <w:b/>
        </w:rPr>
        <w:t>CONCLUSION</w:t>
      </w:r>
    </w:p>
    <w:p w14:paraId="1E02F452" w14:textId="77777777" w:rsidR="00A95B93" w:rsidRDefault="00A95B93" w:rsidP="00691195">
      <w:pPr>
        <w:pStyle w:val="NoSpacing"/>
        <w:jc w:val="both"/>
      </w:pPr>
    </w:p>
    <w:p w14:paraId="73EC2E01" w14:textId="1F51DB9F" w:rsidR="00691195" w:rsidRDefault="00691195" w:rsidP="00691195">
      <w:pPr>
        <w:pStyle w:val="NoSpacing"/>
        <w:jc w:val="both"/>
      </w:pPr>
      <w:r>
        <w:t xml:space="preserve">This paper opens up the ‘black box’ of select committees and presents a framework to understand the provision, reception and use of one form of in-house expertise—legal advice. Legal advice provided to a select committee </w:t>
      </w:r>
      <w:r w:rsidR="0074473C">
        <w:t>is</w:t>
      </w:r>
      <w:r>
        <w:t xml:space="preserve"> subject to a negotiation between parliamentarians, clerks and parliamentary lawyers, the outcome of which determines its appropriate relevance and use. In everyday practice, the </w:t>
      </w:r>
      <w:r w:rsidR="00FC5D1D">
        <w:t>roles</w:t>
      </w:r>
      <w:r>
        <w:t xml:space="preserve"> of these actors converge to </w:t>
      </w:r>
      <w:r w:rsidR="00F27D92">
        <w:t>privilege</w:t>
      </w:r>
      <w:r w:rsidR="00485033">
        <w:t xml:space="preserve"> </w:t>
      </w:r>
      <w:r>
        <w:t>committee autonomy: clerks and parliamentary lawyers defer to parliamentarians’ varied attempts to exert influence</w:t>
      </w:r>
      <w:r w:rsidR="008931A8">
        <w:t xml:space="preserve"> in whatever way they deem appropriate</w:t>
      </w:r>
      <w:r>
        <w:t xml:space="preserve">. Pressures towards </w:t>
      </w:r>
      <w:r w:rsidR="008931A8">
        <w:t xml:space="preserve">the </w:t>
      </w:r>
      <w:r>
        <w:t>publication</w:t>
      </w:r>
      <w:r w:rsidR="008931A8">
        <w:t xml:space="preserve"> of legal advice</w:t>
      </w:r>
      <w:r>
        <w:t xml:space="preserve">, however, can lead to a divergence between parliamentarians and parliamentary staff. </w:t>
      </w:r>
      <w:r w:rsidRPr="001D2661">
        <w:t xml:space="preserve">The tactical </w:t>
      </w:r>
      <w:r w:rsidR="00DD1AC5" w:rsidRPr="001D2661">
        <w:t>approach</w:t>
      </w:r>
      <w:r w:rsidRPr="001D2661">
        <w:t xml:space="preserve"> of parliamentarians </w:t>
      </w:r>
      <w:r w:rsidR="00DD1AC5" w:rsidRPr="001D2661">
        <w:t>is</w:t>
      </w:r>
      <w:r w:rsidRPr="001D2661">
        <w:t xml:space="preserve"> resisted by the stewardship of clerks and the professional </w:t>
      </w:r>
      <w:r w:rsidR="00DD1AC5" w:rsidRPr="001D2661">
        <w:t>norms</w:t>
      </w:r>
      <w:r w:rsidRPr="001D2661">
        <w:t xml:space="preserve"> of parliamentary lawyers.</w:t>
      </w:r>
      <w:r>
        <w:t xml:space="preserve"> </w:t>
      </w:r>
    </w:p>
    <w:p w14:paraId="46ADCC28" w14:textId="77777777" w:rsidR="00691195" w:rsidRDefault="00691195" w:rsidP="00691195">
      <w:pPr>
        <w:pStyle w:val="NoSpacing"/>
        <w:jc w:val="both"/>
      </w:pPr>
    </w:p>
    <w:p w14:paraId="147DF4AC" w14:textId="1BA1D0CB" w:rsidR="00691195" w:rsidRDefault="00691195" w:rsidP="00691195">
      <w:pPr>
        <w:pStyle w:val="NoSpacing"/>
        <w:jc w:val="both"/>
      </w:pPr>
      <w:r>
        <w:t xml:space="preserve">On this analysis, concerns about ‘juridification’ </w:t>
      </w:r>
      <w:r w:rsidR="006F15F1">
        <w:t>or</w:t>
      </w:r>
      <w:r>
        <w:t xml:space="preserve"> the legalisation of politics therefore seem exaggerated. In Westminster, it is partly organisational: lawyers are</w:t>
      </w:r>
      <w:r w:rsidR="00194B4B">
        <w:t xml:space="preserve"> often</w:t>
      </w:r>
      <w:r>
        <w:t xml:space="preserve"> limited by the</w:t>
      </w:r>
      <w:r w:rsidR="00194B4B">
        <w:t xml:space="preserve">ir </w:t>
      </w:r>
      <w:proofErr w:type="spellStart"/>
      <w:r w:rsidR="00194B4B">
        <w:t>compartimentalisation</w:t>
      </w:r>
      <w:proofErr w:type="spellEnd"/>
      <w:r w:rsidR="00194B4B">
        <w:t xml:space="preserve"> within committees</w:t>
      </w:r>
      <w:r>
        <w:t>. But</w:t>
      </w:r>
      <w:r w:rsidRPr="00D228C9">
        <w:t xml:space="preserve"> </w:t>
      </w:r>
      <w:r>
        <w:t xml:space="preserve">it is also because in everyday practice the reach of law and lawyers is quite limited. Moreover, parliamentary lawyers tend to cleave to a ‘standard conception’ of the lawyer’s role, which strongly respects the autonomy of the client, but also insists on the neutrality and non-accountability of lawyers. </w:t>
      </w:r>
    </w:p>
    <w:p w14:paraId="3F2031AB" w14:textId="77777777" w:rsidR="00691195" w:rsidRDefault="00691195" w:rsidP="00691195">
      <w:pPr>
        <w:pStyle w:val="NoSpacing"/>
        <w:jc w:val="both"/>
      </w:pPr>
    </w:p>
    <w:p w14:paraId="511E3607" w14:textId="22632B85" w:rsidR="00691195" w:rsidRDefault="00691195" w:rsidP="00691195">
      <w:pPr>
        <w:pStyle w:val="NoSpacing"/>
        <w:jc w:val="both"/>
      </w:pPr>
      <w:r>
        <w:t>A push for greater transparency and increased publication of in-house legal advice is likely to meet a number of obstacles. It ignores the very real concerns of parliamentary staff to maintain their own impartiality—and therefore, effectiveness—within the deeply politici</w:t>
      </w:r>
      <w:r w:rsidR="00DC6AC0">
        <w:t>s</w:t>
      </w:r>
      <w:r>
        <w:t xml:space="preserve">ed arena of Parliament. It ignores the general disposition of parliamentary staff to remain in the background. This is not just because of their concerns about impartiality. It is also </w:t>
      </w:r>
      <w:r>
        <w:lastRenderedPageBreak/>
        <w:t xml:space="preserve">because of their strongly-held institutional and professional </w:t>
      </w:r>
      <w:r w:rsidR="00485033">
        <w:t>norms</w:t>
      </w:r>
      <w:r>
        <w:t xml:space="preserve"> prioritising the autonomy of committees and ‘the client’, and a related concern about ensuring the focus of attention is on the decision of the committee, and not the advisers. Calls for greater transparency and the publication of legal advice</w:t>
      </w:r>
      <w:r w:rsidR="00781C29">
        <w:t xml:space="preserve"> </w:t>
      </w:r>
      <w:r>
        <w:t>also ignores that many parliamentary lawyers may have multiple clients within the legislative context.</w:t>
      </w:r>
      <w:r>
        <w:rPr>
          <w:rStyle w:val="FootnoteReference"/>
        </w:rPr>
        <w:footnoteReference w:id="145"/>
      </w:r>
      <w:r>
        <w:t xml:space="preserve"> An expectation that advice for one particular function or client should be published would not easily be quarantined to that sphere.</w:t>
      </w:r>
    </w:p>
    <w:p w14:paraId="0F0B7A45" w14:textId="77777777" w:rsidR="00691195" w:rsidRDefault="00691195" w:rsidP="00691195">
      <w:pPr>
        <w:pStyle w:val="NoSpacing"/>
        <w:jc w:val="both"/>
      </w:pPr>
    </w:p>
    <w:p w14:paraId="1B4A5D5B" w14:textId="2BD83E46" w:rsidR="00C00E31" w:rsidRPr="003B68AA" w:rsidRDefault="00691195" w:rsidP="00F33755">
      <w:pPr>
        <w:pStyle w:val="NoSpacing"/>
        <w:jc w:val="both"/>
      </w:pPr>
      <w:r>
        <w:t xml:space="preserve">Publication of in-house legal advice may be of merit under certain circumstances. But the pressures on and interests of parliamentarians are such that they are unlikely to </w:t>
      </w:r>
      <w:r w:rsidRPr="00B44A9E">
        <w:t xml:space="preserve">think carefully about whether the short-term benefits of publishing </w:t>
      </w:r>
      <w:r>
        <w:t>in-house legal advice outweigh</w:t>
      </w:r>
      <w:r w:rsidRPr="00B44A9E">
        <w:t xml:space="preserve"> the potential </w:t>
      </w:r>
      <w:r>
        <w:t xml:space="preserve">long-term </w:t>
      </w:r>
      <w:r w:rsidRPr="00B44A9E">
        <w:t>institutional costs.</w:t>
      </w:r>
      <w:r>
        <w:t xml:space="preserve"> They will be more concerned</w:t>
      </w:r>
      <w:r w:rsidR="00246F6C">
        <w:t>,</w:t>
      </w:r>
      <w:r>
        <w:t xml:space="preserve"> in the immediate instance</w:t>
      </w:r>
      <w:r w:rsidR="00246F6C">
        <w:t>,</w:t>
      </w:r>
      <w:r>
        <w:t xml:space="preserve"> to </w:t>
      </w:r>
      <w:r w:rsidR="00B61B4C">
        <w:t>exert</w:t>
      </w:r>
      <w:r>
        <w:t xml:space="preserve"> committee influence; and perhaps less cogni</w:t>
      </w:r>
      <w:r w:rsidR="002A7F25">
        <w:t>s</w:t>
      </w:r>
      <w:r>
        <w:t xml:space="preserve">ant of the potential impact on staff impartiality, various informal practices </w:t>
      </w:r>
      <w:r w:rsidR="007C6522">
        <w:t>by parliamentary staff</w:t>
      </w:r>
      <w:r>
        <w:t xml:space="preserve"> and the inflationary effect on legal advice. Perhaps one means to address this is to replace the current ad hoc approach by official guidance, which could be provided to committees considering publication. This would at the very least alert committees to some of the broader issues</w:t>
      </w:r>
      <w:r w:rsidR="00CC659F">
        <w:t xml:space="preserve"> involved. </w:t>
      </w:r>
      <w:r w:rsidR="002A7F25">
        <w:t>In turn, this could</w:t>
      </w:r>
      <w:r w:rsidR="00CC659F">
        <w:t xml:space="preserve"> bring </w:t>
      </w:r>
      <w:r w:rsidR="00CC659F" w:rsidRPr="00CC659F">
        <w:t>consistency to the</w:t>
      </w:r>
      <w:r w:rsidR="008931A8">
        <w:t xml:space="preserve"> decision to publish</w:t>
      </w:r>
      <w:r w:rsidR="00CC659F" w:rsidRPr="00CC659F">
        <w:t xml:space="preserve">, and thereby </w:t>
      </w:r>
      <w:r w:rsidR="003458C3">
        <w:t xml:space="preserve">help </w:t>
      </w:r>
      <w:r w:rsidR="00CC659F" w:rsidRPr="00CC659F">
        <w:t>avoid any unforeseen and undes</w:t>
      </w:r>
      <w:r w:rsidR="00CC659F">
        <w:t>ired consequences</w:t>
      </w:r>
      <w:r w:rsidR="00CC659F" w:rsidRPr="00CC659F">
        <w:t>.</w:t>
      </w:r>
      <w:r w:rsidR="002A7F25">
        <w:t xml:space="preserve"> </w:t>
      </w:r>
      <w:r w:rsidR="0064013E">
        <w:t xml:space="preserve"> </w:t>
      </w:r>
    </w:p>
    <w:sectPr w:rsidR="00C00E31" w:rsidRPr="003B68AA" w:rsidSect="00E95341">
      <w:footerReference w:type="even" r:id="rId8"/>
      <w:footerReference w:type="default" r:id="rId9"/>
      <w:pgSz w:w="11900" w:h="16840"/>
      <w:pgMar w:top="1440" w:right="1440" w:bottom="1440" w:left="1440"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A4257" w14:textId="77777777" w:rsidR="00834099" w:rsidRDefault="00834099" w:rsidP="00561809">
      <w:r>
        <w:separator/>
      </w:r>
    </w:p>
  </w:endnote>
  <w:endnote w:type="continuationSeparator" w:id="0">
    <w:p w14:paraId="163EEB86" w14:textId="77777777" w:rsidR="00834099" w:rsidRDefault="00834099" w:rsidP="0056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altName w:val="Sylfaen"/>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C4BA7" w14:textId="77777777" w:rsidR="00CE164C" w:rsidRDefault="00CE164C" w:rsidP="00E53B1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CF0714" w14:textId="77777777" w:rsidR="00CE164C" w:rsidRDefault="00CE16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A6B97" w14:textId="77777777" w:rsidR="00CE164C" w:rsidRDefault="00CE164C" w:rsidP="00E53B1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30CE470A" w14:textId="77777777" w:rsidR="00CE164C" w:rsidRDefault="00CE1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E249C" w14:textId="77777777" w:rsidR="00834099" w:rsidRDefault="00834099" w:rsidP="00561809">
      <w:r>
        <w:separator/>
      </w:r>
    </w:p>
  </w:footnote>
  <w:footnote w:type="continuationSeparator" w:id="0">
    <w:p w14:paraId="6249724C" w14:textId="77777777" w:rsidR="00834099" w:rsidRDefault="00834099" w:rsidP="00561809">
      <w:r>
        <w:continuationSeparator/>
      </w:r>
    </w:p>
  </w:footnote>
  <w:footnote w:id="1">
    <w:p w14:paraId="43759BA6" w14:textId="3DFA42A3" w:rsidR="00CE164C" w:rsidRPr="00890A48" w:rsidRDefault="00CE164C" w:rsidP="004F0677">
      <w:pPr>
        <w:pStyle w:val="NoSpacing"/>
        <w:jc w:val="both"/>
        <w:rPr>
          <w:sz w:val="20"/>
          <w:szCs w:val="20"/>
        </w:rPr>
      </w:pPr>
      <w:r w:rsidRPr="00890A48">
        <w:rPr>
          <w:rStyle w:val="FootnoteReference"/>
          <w:sz w:val="20"/>
          <w:szCs w:val="20"/>
        </w:rPr>
        <w:footnoteRef/>
      </w:r>
      <w:r w:rsidRPr="00890A48">
        <w:rPr>
          <w:sz w:val="20"/>
          <w:szCs w:val="20"/>
        </w:rPr>
        <w:t xml:space="preserve"> House of Lords EU Committee, </w:t>
      </w:r>
      <w:r w:rsidRPr="00890A48">
        <w:rPr>
          <w:i/>
          <w:sz w:val="20"/>
          <w:szCs w:val="20"/>
        </w:rPr>
        <w:t xml:space="preserve">Brexit and the EU Budget </w:t>
      </w:r>
      <w:r w:rsidRPr="00890A48">
        <w:rPr>
          <w:sz w:val="20"/>
          <w:szCs w:val="20"/>
        </w:rPr>
        <w:t>(HL 125, 2017).</w:t>
      </w:r>
    </w:p>
  </w:footnote>
  <w:footnote w:id="2">
    <w:p w14:paraId="11E1106A" w14:textId="6985B923" w:rsidR="00CE164C" w:rsidRPr="00890A48" w:rsidRDefault="00CE164C" w:rsidP="004F0677">
      <w:pPr>
        <w:pStyle w:val="NoSpacing"/>
        <w:jc w:val="both"/>
        <w:rPr>
          <w:sz w:val="20"/>
          <w:szCs w:val="20"/>
        </w:rPr>
      </w:pPr>
      <w:r w:rsidRPr="00890A48">
        <w:rPr>
          <w:rStyle w:val="FootnoteReference"/>
          <w:sz w:val="20"/>
          <w:szCs w:val="20"/>
        </w:rPr>
        <w:footnoteRef/>
      </w:r>
      <w:r w:rsidRPr="00890A48">
        <w:rPr>
          <w:sz w:val="20"/>
          <w:szCs w:val="20"/>
        </w:rPr>
        <w:t xml:space="preserve"> Id., at p. 63. </w:t>
      </w:r>
    </w:p>
  </w:footnote>
  <w:footnote w:id="3">
    <w:p w14:paraId="023F7593" w14:textId="3F26D19D" w:rsidR="00CE164C" w:rsidRPr="00890A48" w:rsidRDefault="00CE164C" w:rsidP="004F0677">
      <w:pPr>
        <w:pStyle w:val="NoSpacing"/>
        <w:jc w:val="both"/>
        <w:rPr>
          <w:b/>
          <w:sz w:val="20"/>
          <w:szCs w:val="20"/>
        </w:rPr>
      </w:pPr>
      <w:r w:rsidRPr="00890A48">
        <w:rPr>
          <w:rStyle w:val="FootnoteReference"/>
          <w:sz w:val="20"/>
          <w:szCs w:val="20"/>
        </w:rPr>
        <w:footnoteRef/>
      </w:r>
      <w:r w:rsidRPr="00890A48">
        <w:rPr>
          <w:sz w:val="20"/>
          <w:szCs w:val="20"/>
        </w:rPr>
        <w:t xml:space="preserve"> A. Brazier and R. Fox, ‘Reviewing Select Committee Tasks and Modes of Operation’ (2011) 64(2) </w:t>
      </w:r>
      <w:r w:rsidRPr="00890A48">
        <w:rPr>
          <w:i/>
          <w:sz w:val="20"/>
          <w:szCs w:val="20"/>
        </w:rPr>
        <w:t>Parliamentary Affairs</w:t>
      </w:r>
      <w:r w:rsidRPr="00890A48">
        <w:rPr>
          <w:sz w:val="20"/>
          <w:szCs w:val="20"/>
        </w:rPr>
        <w:t xml:space="preserve"> 354, at 365.</w:t>
      </w:r>
    </w:p>
  </w:footnote>
  <w:footnote w:id="4">
    <w:p w14:paraId="578E2B51" w14:textId="51702A28" w:rsidR="00CE164C" w:rsidRPr="00890A48" w:rsidRDefault="00CE164C" w:rsidP="004F0677">
      <w:pPr>
        <w:pStyle w:val="FootnoteText"/>
        <w:jc w:val="both"/>
        <w:rPr>
          <w:sz w:val="20"/>
          <w:szCs w:val="20"/>
          <w:lang w:val="en-GB"/>
        </w:rPr>
      </w:pPr>
      <w:r w:rsidRPr="00890A48">
        <w:rPr>
          <w:rStyle w:val="FootnoteReference"/>
          <w:sz w:val="20"/>
          <w:szCs w:val="20"/>
        </w:rPr>
        <w:footnoteRef/>
      </w:r>
      <w:r w:rsidRPr="00890A48">
        <w:rPr>
          <w:sz w:val="20"/>
          <w:szCs w:val="20"/>
        </w:rPr>
        <w:t xml:space="preserve"> L. Fisher, ‘The Growing Power and Autonomy of House of Commons Select Committees: Causes and Effects’ (2015) 86(3) </w:t>
      </w:r>
      <w:r w:rsidRPr="00890A48">
        <w:rPr>
          <w:i/>
          <w:sz w:val="20"/>
          <w:szCs w:val="20"/>
        </w:rPr>
        <w:t>Political Q</w:t>
      </w:r>
      <w:r w:rsidRPr="00890A48">
        <w:rPr>
          <w:sz w:val="20"/>
          <w:szCs w:val="20"/>
        </w:rPr>
        <w:t xml:space="preserve"> 419.</w:t>
      </w:r>
    </w:p>
  </w:footnote>
  <w:footnote w:id="5">
    <w:p w14:paraId="0420B4FF" w14:textId="1532F524" w:rsidR="00CE164C" w:rsidRPr="00890A48" w:rsidRDefault="00CE164C" w:rsidP="004F0677">
      <w:pPr>
        <w:pStyle w:val="NoSpacing"/>
        <w:jc w:val="both"/>
        <w:rPr>
          <w:sz w:val="20"/>
          <w:szCs w:val="20"/>
        </w:rPr>
      </w:pPr>
      <w:r w:rsidRPr="00890A48">
        <w:rPr>
          <w:rStyle w:val="FootnoteReference"/>
          <w:sz w:val="20"/>
          <w:szCs w:val="20"/>
        </w:rPr>
        <w:footnoteRef/>
      </w:r>
      <w:r w:rsidRPr="00890A48">
        <w:rPr>
          <w:sz w:val="20"/>
          <w:szCs w:val="20"/>
        </w:rPr>
        <w:t xml:space="preserve"> M. Hodge, </w:t>
      </w:r>
      <w:r w:rsidRPr="00890A48">
        <w:rPr>
          <w:i/>
          <w:sz w:val="20"/>
          <w:szCs w:val="20"/>
        </w:rPr>
        <w:t>Called to Account: How Corporate Bad Behaviour and Government Waste Combine to Cost Us Millions</w:t>
      </w:r>
      <w:r w:rsidRPr="00890A48">
        <w:rPr>
          <w:sz w:val="20"/>
          <w:szCs w:val="20"/>
        </w:rPr>
        <w:t xml:space="preserve"> (2016); House of Commons Privileges Committee, </w:t>
      </w:r>
      <w:r w:rsidRPr="00890A48">
        <w:rPr>
          <w:i/>
          <w:sz w:val="20"/>
          <w:szCs w:val="20"/>
        </w:rPr>
        <w:t xml:space="preserve">Conduct of Witnesses before a Select Committee: Mr Colin </w:t>
      </w:r>
      <w:proofErr w:type="spellStart"/>
      <w:r w:rsidRPr="00890A48">
        <w:rPr>
          <w:i/>
          <w:sz w:val="20"/>
          <w:szCs w:val="20"/>
        </w:rPr>
        <w:t>Myler</w:t>
      </w:r>
      <w:proofErr w:type="spellEnd"/>
      <w:r w:rsidRPr="00890A48">
        <w:rPr>
          <w:i/>
          <w:sz w:val="20"/>
          <w:szCs w:val="20"/>
        </w:rPr>
        <w:t>, Mr Tom Crone, Mr Les Hinton, and News International</w:t>
      </w:r>
      <w:r w:rsidRPr="00890A48">
        <w:rPr>
          <w:sz w:val="20"/>
          <w:szCs w:val="20"/>
        </w:rPr>
        <w:t>, (HC 662 2016-17).</w:t>
      </w:r>
    </w:p>
  </w:footnote>
  <w:footnote w:id="6">
    <w:p w14:paraId="75CC5AB3" w14:textId="77777777"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Marc Geddes ‘Committee Hearings of the UK Parliament: Who gives Evidence and does this Matter?’ (2018) 71 </w:t>
      </w:r>
      <w:r w:rsidRPr="00890A48">
        <w:rPr>
          <w:i/>
          <w:sz w:val="20"/>
          <w:szCs w:val="20"/>
        </w:rPr>
        <w:t>Parliamentary Affairs</w:t>
      </w:r>
      <w:r w:rsidRPr="00890A48">
        <w:rPr>
          <w:sz w:val="20"/>
          <w:szCs w:val="20"/>
        </w:rPr>
        <w:t xml:space="preserve"> 283.</w:t>
      </w:r>
    </w:p>
  </w:footnote>
  <w:footnote w:id="7">
    <w:p w14:paraId="7A501A03" w14:textId="1CEE83C1" w:rsidR="00CE164C" w:rsidRPr="00890A48" w:rsidRDefault="00CE164C" w:rsidP="00E9785F">
      <w:pPr>
        <w:pStyle w:val="FootnoteText"/>
        <w:rPr>
          <w:sz w:val="20"/>
          <w:szCs w:val="20"/>
        </w:rPr>
      </w:pPr>
      <w:r w:rsidRPr="00890A48">
        <w:rPr>
          <w:rStyle w:val="FootnoteReference"/>
          <w:sz w:val="20"/>
          <w:szCs w:val="20"/>
        </w:rPr>
        <w:footnoteRef/>
      </w:r>
      <w:r w:rsidRPr="00890A48">
        <w:rPr>
          <w:sz w:val="20"/>
          <w:szCs w:val="20"/>
        </w:rPr>
        <w:t xml:space="preserve"> H. </w:t>
      </w:r>
      <w:proofErr w:type="spellStart"/>
      <w:r w:rsidRPr="00890A48">
        <w:rPr>
          <w:sz w:val="20"/>
          <w:szCs w:val="20"/>
        </w:rPr>
        <w:t>Zeffman</w:t>
      </w:r>
      <w:proofErr w:type="spellEnd"/>
      <w:r w:rsidRPr="00890A48">
        <w:rPr>
          <w:sz w:val="20"/>
          <w:szCs w:val="20"/>
        </w:rPr>
        <w:t>, ‘</w:t>
      </w:r>
      <w:proofErr w:type="spellStart"/>
      <w:r w:rsidRPr="00890A48">
        <w:rPr>
          <w:sz w:val="20"/>
          <w:szCs w:val="20"/>
        </w:rPr>
        <w:t>Labour</w:t>
      </w:r>
      <w:proofErr w:type="spellEnd"/>
      <w:r w:rsidRPr="00890A48">
        <w:rPr>
          <w:sz w:val="20"/>
          <w:szCs w:val="20"/>
        </w:rPr>
        <w:t xml:space="preserve"> to demand backstop legal advice’ </w:t>
      </w:r>
      <w:r w:rsidRPr="00890A48">
        <w:rPr>
          <w:i/>
          <w:sz w:val="20"/>
          <w:szCs w:val="20"/>
        </w:rPr>
        <w:t>The Times</w:t>
      </w:r>
      <w:r w:rsidRPr="00890A48">
        <w:rPr>
          <w:sz w:val="20"/>
          <w:szCs w:val="20"/>
        </w:rPr>
        <w:t xml:space="preserve"> (3 November 2018). </w:t>
      </w:r>
    </w:p>
  </w:footnote>
  <w:footnote w:id="8">
    <w:p w14:paraId="2BBBE049" w14:textId="61982869" w:rsidR="00CE164C" w:rsidRPr="00890A48" w:rsidRDefault="00CE164C" w:rsidP="00995295">
      <w:pPr>
        <w:pStyle w:val="FootnoteText"/>
        <w:rPr>
          <w:sz w:val="20"/>
          <w:szCs w:val="20"/>
        </w:rPr>
      </w:pPr>
      <w:r w:rsidRPr="00890A48">
        <w:rPr>
          <w:rStyle w:val="FootnoteReference"/>
          <w:sz w:val="20"/>
          <w:szCs w:val="20"/>
        </w:rPr>
        <w:footnoteRef/>
      </w:r>
      <w:r w:rsidRPr="00890A48">
        <w:rPr>
          <w:sz w:val="20"/>
          <w:szCs w:val="20"/>
        </w:rPr>
        <w:t xml:space="preserve"> National Assembly for Wales, ‘Law Derived from the European Union (Wales) Bill: summary of legislative issues’ (27 February 2018), at &lt;http://www.assembly.wales/laid%20documents/pri-ld11431/pri-ld11431-e.pdf&gt;; Scottish Parliament, ‘Withdrawal from European Union (Continuity) Bill: statements on legislative competence’ (27 February 2018), at &lt;http://www.parliament.scot/S5_Bills/UK%20Withdrawal%20from%20the%20European%20Union%20(Legal%20Continuity)%20(Scotland)%20Bill/SPBill28LCS052018.pdf&gt;.</w:t>
      </w:r>
    </w:p>
  </w:footnote>
  <w:footnote w:id="9">
    <w:p w14:paraId="1416A5CE" w14:textId="43DF9932" w:rsidR="00CE164C" w:rsidRPr="00890A48" w:rsidRDefault="00CE164C" w:rsidP="00742442">
      <w:pPr>
        <w:pStyle w:val="FootnoteText"/>
        <w:jc w:val="both"/>
        <w:rPr>
          <w:sz w:val="20"/>
          <w:szCs w:val="20"/>
        </w:rPr>
      </w:pPr>
      <w:r w:rsidRPr="00890A48">
        <w:rPr>
          <w:rStyle w:val="FootnoteReference"/>
          <w:sz w:val="20"/>
          <w:szCs w:val="20"/>
        </w:rPr>
        <w:footnoteRef/>
      </w:r>
      <w:r w:rsidRPr="00890A48">
        <w:rPr>
          <w:sz w:val="20"/>
          <w:szCs w:val="20"/>
        </w:rPr>
        <w:t xml:space="preserve"> E.g., D. Nicol, </w:t>
      </w:r>
      <w:r w:rsidRPr="00890A48">
        <w:rPr>
          <w:i/>
          <w:sz w:val="20"/>
          <w:szCs w:val="20"/>
        </w:rPr>
        <w:t>EC Membership and the Judicialization of British Politics</w:t>
      </w:r>
      <w:r w:rsidRPr="00890A48">
        <w:rPr>
          <w:sz w:val="20"/>
          <w:szCs w:val="20"/>
        </w:rPr>
        <w:t xml:space="preserve"> (2001); and A. Tomkins, ‘In </w:t>
      </w:r>
      <w:proofErr w:type="spellStart"/>
      <w:r w:rsidRPr="00890A48">
        <w:rPr>
          <w:sz w:val="20"/>
          <w:szCs w:val="20"/>
        </w:rPr>
        <w:t>Defence</w:t>
      </w:r>
      <w:proofErr w:type="spellEnd"/>
      <w:r w:rsidRPr="00890A48">
        <w:rPr>
          <w:sz w:val="20"/>
          <w:szCs w:val="20"/>
        </w:rPr>
        <w:t xml:space="preserve"> of the Political Constitution’ (2002) 22(1) </w:t>
      </w:r>
      <w:r w:rsidRPr="00890A48">
        <w:rPr>
          <w:i/>
          <w:sz w:val="20"/>
          <w:szCs w:val="20"/>
        </w:rPr>
        <w:t>Oxford J Legal Studies</w:t>
      </w:r>
      <w:r w:rsidRPr="00890A48">
        <w:rPr>
          <w:sz w:val="20"/>
          <w:szCs w:val="20"/>
        </w:rPr>
        <w:t xml:space="preserve"> 157.</w:t>
      </w:r>
    </w:p>
  </w:footnote>
  <w:footnote w:id="10">
    <w:p w14:paraId="4E7109C6" w14:textId="77777777" w:rsidR="00CE164C" w:rsidRPr="00890A48" w:rsidRDefault="00CE164C" w:rsidP="002475B8">
      <w:pPr>
        <w:pStyle w:val="FootnoteText"/>
        <w:jc w:val="both"/>
        <w:rPr>
          <w:sz w:val="20"/>
          <w:szCs w:val="20"/>
        </w:rPr>
      </w:pPr>
      <w:r w:rsidRPr="00890A48">
        <w:rPr>
          <w:rStyle w:val="FootnoteReference"/>
          <w:sz w:val="20"/>
          <w:szCs w:val="20"/>
        </w:rPr>
        <w:footnoteRef/>
      </w:r>
      <w:r w:rsidRPr="00890A48">
        <w:rPr>
          <w:sz w:val="20"/>
          <w:szCs w:val="20"/>
        </w:rPr>
        <w:t xml:space="preserve"> </w:t>
      </w:r>
      <w:r w:rsidRPr="00890A48">
        <w:rPr>
          <w:sz w:val="20"/>
          <w:szCs w:val="20"/>
          <w:lang w:val="en-GB"/>
        </w:rPr>
        <w:t xml:space="preserve">C. Johnson, ‘Select committees: Powers and functions’ in </w:t>
      </w:r>
      <w:r w:rsidRPr="00890A48">
        <w:rPr>
          <w:i/>
          <w:sz w:val="20"/>
          <w:szCs w:val="20"/>
          <w:lang w:val="en-GB"/>
        </w:rPr>
        <w:t>Parliament and the Law</w:t>
      </w:r>
      <w:r w:rsidRPr="00890A48">
        <w:rPr>
          <w:sz w:val="20"/>
          <w:szCs w:val="20"/>
          <w:lang w:val="en-GB"/>
        </w:rPr>
        <w:t xml:space="preserve">, eds. A. Horne and G. </w:t>
      </w:r>
      <w:proofErr w:type="spellStart"/>
      <w:r w:rsidRPr="00890A48">
        <w:rPr>
          <w:sz w:val="20"/>
          <w:szCs w:val="20"/>
          <w:lang w:val="en-GB"/>
        </w:rPr>
        <w:t>Drewry</w:t>
      </w:r>
      <w:proofErr w:type="spellEnd"/>
      <w:r w:rsidRPr="00890A48">
        <w:rPr>
          <w:sz w:val="20"/>
          <w:szCs w:val="20"/>
          <w:lang w:val="en-GB"/>
        </w:rPr>
        <w:t xml:space="preserve"> (2018, 2</w:t>
      </w:r>
      <w:r w:rsidRPr="00890A48">
        <w:rPr>
          <w:sz w:val="20"/>
          <w:szCs w:val="20"/>
          <w:vertAlign w:val="superscript"/>
          <w:lang w:val="en-GB"/>
        </w:rPr>
        <w:t>nd</w:t>
      </w:r>
      <w:r w:rsidRPr="00890A48">
        <w:rPr>
          <w:sz w:val="20"/>
          <w:szCs w:val="20"/>
          <w:lang w:val="en-GB"/>
        </w:rPr>
        <w:t xml:space="preserve"> </w:t>
      </w:r>
      <w:proofErr w:type="spellStart"/>
      <w:r w:rsidRPr="00890A48">
        <w:rPr>
          <w:sz w:val="20"/>
          <w:szCs w:val="20"/>
          <w:lang w:val="en-GB"/>
        </w:rPr>
        <w:t>edn</w:t>
      </w:r>
      <w:proofErr w:type="spellEnd"/>
      <w:r w:rsidRPr="00890A48">
        <w:rPr>
          <w:sz w:val="20"/>
          <w:szCs w:val="20"/>
          <w:lang w:val="en-GB"/>
        </w:rPr>
        <w:t>) 103.</w:t>
      </w:r>
    </w:p>
  </w:footnote>
  <w:footnote w:id="11">
    <w:p w14:paraId="2832CBF9" w14:textId="5B79FDAA" w:rsidR="00CE164C" w:rsidRPr="00890A48" w:rsidRDefault="00CE164C" w:rsidP="004F0677">
      <w:pPr>
        <w:pStyle w:val="NoSpacing"/>
        <w:jc w:val="both"/>
        <w:rPr>
          <w:sz w:val="20"/>
          <w:szCs w:val="20"/>
        </w:rPr>
      </w:pPr>
      <w:r w:rsidRPr="00890A48">
        <w:rPr>
          <w:rStyle w:val="FootnoteReference"/>
          <w:sz w:val="20"/>
          <w:szCs w:val="20"/>
        </w:rPr>
        <w:footnoteRef/>
      </w:r>
      <w:r w:rsidRPr="00890A48">
        <w:rPr>
          <w:sz w:val="20"/>
          <w:szCs w:val="20"/>
        </w:rPr>
        <w:t xml:space="preserve"> Fisher, op. cit., n. 4.</w:t>
      </w:r>
    </w:p>
  </w:footnote>
  <w:footnote w:id="12">
    <w:p w14:paraId="3FC7E926" w14:textId="04108BAE"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M. Benton and M. Russell, ‘Assessing the Impact of Parliamentary Oversight Committees: The Select Committees in the British House of Commons’ (2013) 66 </w:t>
      </w:r>
      <w:r w:rsidRPr="00890A48">
        <w:rPr>
          <w:i/>
          <w:sz w:val="20"/>
          <w:szCs w:val="20"/>
        </w:rPr>
        <w:t>Parliamentary Affairs</w:t>
      </w:r>
      <w:r w:rsidRPr="00890A48">
        <w:rPr>
          <w:sz w:val="20"/>
          <w:szCs w:val="20"/>
        </w:rPr>
        <w:t xml:space="preserve"> 772; and H. White, </w:t>
      </w:r>
      <w:r w:rsidRPr="00890A48">
        <w:rPr>
          <w:i/>
          <w:sz w:val="20"/>
          <w:szCs w:val="20"/>
        </w:rPr>
        <w:t>Select Committees under Scrutiny: The Impact of Parliamentary Committee Inquiries on Government</w:t>
      </w:r>
      <w:r w:rsidRPr="00890A48">
        <w:rPr>
          <w:sz w:val="20"/>
          <w:szCs w:val="20"/>
        </w:rPr>
        <w:t xml:space="preserve"> (2015).</w:t>
      </w:r>
    </w:p>
  </w:footnote>
  <w:footnote w:id="13">
    <w:p w14:paraId="73481A89" w14:textId="235FC1B8" w:rsidR="00CE164C" w:rsidRPr="00890A48" w:rsidRDefault="00CE164C" w:rsidP="004F0677">
      <w:pPr>
        <w:pStyle w:val="NoSpacing"/>
        <w:jc w:val="both"/>
        <w:rPr>
          <w:sz w:val="20"/>
          <w:szCs w:val="20"/>
        </w:rPr>
      </w:pPr>
      <w:r w:rsidRPr="00890A48">
        <w:rPr>
          <w:rStyle w:val="FootnoteReference"/>
          <w:sz w:val="20"/>
          <w:szCs w:val="20"/>
        </w:rPr>
        <w:footnoteRef/>
      </w:r>
      <w:r w:rsidRPr="00890A48">
        <w:rPr>
          <w:sz w:val="20"/>
          <w:szCs w:val="20"/>
        </w:rPr>
        <w:t xml:space="preserve"> E.g., M. Russell and P. </w:t>
      </w:r>
      <w:proofErr w:type="spellStart"/>
      <w:r w:rsidRPr="00890A48">
        <w:rPr>
          <w:sz w:val="20"/>
          <w:szCs w:val="20"/>
        </w:rPr>
        <w:t>Cowley</w:t>
      </w:r>
      <w:proofErr w:type="spellEnd"/>
      <w:r w:rsidRPr="00890A48">
        <w:rPr>
          <w:sz w:val="20"/>
          <w:szCs w:val="20"/>
        </w:rPr>
        <w:t xml:space="preserve">, ‘The Policy Power of the Westminster Parliament: The “Parliamentary State” and the Empirical Evidence’ (2016) 29 </w:t>
      </w:r>
      <w:r w:rsidRPr="00890A48">
        <w:rPr>
          <w:i/>
          <w:sz w:val="20"/>
          <w:szCs w:val="20"/>
        </w:rPr>
        <w:t>Governance</w:t>
      </w:r>
      <w:r w:rsidRPr="00890A48">
        <w:rPr>
          <w:sz w:val="20"/>
          <w:szCs w:val="20"/>
        </w:rPr>
        <w:t xml:space="preserve"> 121. </w:t>
      </w:r>
    </w:p>
  </w:footnote>
  <w:footnote w:id="14">
    <w:p w14:paraId="1521D2BF" w14:textId="31E9DE8F"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For an exception, see A. Kelso, ‘Political Leadership in Parliament: The Role of Select Committee Chairs in the UK House of Commons’ (2016) 4(2) </w:t>
      </w:r>
      <w:r w:rsidRPr="00890A48">
        <w:rPr>
          <w:i/>
          <w:sz w:val="20"/>
          <w:szCs w:val="20"/>
        </w:rPr>
        <w:t>Politics and Governance</w:t>
      </w:r>
      <w:r w:rsidRPr="00890A48">
        <w:rPr>
          <w:sz w:val="20"/>
          <w:szCs w:val="20"/>
        </w:rPr>
        <w:t xml:space="preserve"> 115.</w:t>
      </w:r>
    </w:p>
  </w:footnote>
  <w:footnote w:id="15">
    <w:p w14:paraId="166389C2" w14:textId="04B65539"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But see </w:t>
      </w:r>
      <w:r w:rsidRPr="00890A48">
        <w:rPr>
          <w:sz w:val="20"/>
          <w:szCs w:val="20"/>
          <w:lang w:val="en-GB"/>
        </w:rPr>
        <w:t xml:space="preserve">E. Crewe, ‘Magi or Mandarins? Contemporary Clerkly Culture’ in </w:t>
      </w:r>
      <w:r w:rsidRPr="00890A48">
        <w:rPr>
          <w:i/>
          <w:sz w:val="20"/>
          <w:szCs w:val="20"/>
          <w:lang w:val="en-GB"/>
        </w:rPr>
        <w:t>Essays on the History of Parliamentary Procedure</w:t>
      </w:r>
      <w:r w:rsidRPr="00890A48">
        <w:rPr>
          <w:sz w:val="20"/>
          <w:szCs w:val="20"/>
          <w:lang w:val="en-GB"/>
        </w:rPr>
        <w:t>, ed. P. Evans (2018) 46</w:t>
      </w:r>
      <w:r w:rsidRPr="00890A48">
        <w:rPr>
          <w:sz w:val="20"/>
          <w:szCs w:val="20"/>
        </w:rPr>
        <w:t>.</w:t>
      </w:r>
    </w:p>
  </w:footnote>
  <w:footnote w:id="16">
    <w:p w14:paraId="03A88AE2" w14:textId="5853F508"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E.g., T. </w:t>
      </w:r>
      <w:proofErr w:type="spellStart"/>
      <w:r w:rsidRPr="00890A48">
        <w:rPr>
          <w:sz w:val="20"/>
          <w:szCs w:val="20"/>
        </w:rPr>
        <w:t>Winzen</w:t>
      </w:r>
      <w:proofErr w:type="spellEnd"/>
      <w:r w:rsidRPr="00890A48">
        <w:rPr>
          <w:sz w:val="20"/>
          <w:szCs w:val="20"/>
        </w:rPr>
        <w:t xml:space="preserve">, ‘Technical or political? An exploration of the work of officials in the committees of the European Parliament’ (2011) 17(1) </w:t>
      </w:r>
      <w:r w:rsidRPr="00890A48">
        <w:rPr>
          <w:i/>
          <w:sz w:val="20"/>
          <w:szCs w:val="20"/>
        </w:rPr>
        <w:t>J of Legislative Studies</w:t>
      </w:r>
      <w:r w:rsidRPr="00890A48">
        <w:rPr>
          <w:sz w:val="20"/>
          <w:szCs w:val="20"/>
        </w:rPr>
        <w:t xml:space="preserve"> 27; and C. </w:t>
      </w:r>
      <w:proofErr w:type="spellStart"/>
      <w:r w:rsidRPr="00890A48">
        <w:rPr>
          <w:sz w:val="20"/>
          <w:szCs w:val="20"/>
        </w:rPr>
        <w:t>Neuhold</w:t>
      </w:r>
      <w:proofErr w:type="spellEnd"/>
      <w:r w:rsidRPr="00890A48">
        <w:rPr>
          <w:sz w:val="20"/>
          <w:szCs w:val="20"/>
        </w:rPr>
        <w:t xml:space="preserve"> and M. </w:t>
      </w:r>
      <w:proofErr w:type="spellStart"/>
      <w:r w:rsidRPr="00890A48">
        <w:rPr>
          <w:sz w:val="20"/>
          <w:szCs w:val="20"/>
        </w:rPr>
        <w:t>Dobbels</w:t>
      </w:r>
      <w:proofErr w:type="spellEnd"/>
      <w:r w:rsidRPr="00890A48">
        <w:rPr>
          <w:sz w:val="20"/>
          <w:szCs w:val="20"/>
        </w:rPr>
        <w:t xml:space="preserve">, ‘Paper keepers or policy shapers? The conditions under which EP officials impact on the EU policy process’ (2015) 13(5) </w:t>
      </w:r>
      <w:r w:rsidRPr="00890A48">
        <w:rPr>
          <w:i/>
          <w:sz w:val="20"/>
          <w:szCs w:val="20"/>
        </w:rPr>
        <w:t>Comparative European Politics</w:t>
      </w:r>
      <w:r w:rsidRPr="00890A48">
        <w:rPr>
          <w:sz w:val="20"/>
          <w:szCs w:val="20"/>
        </w:rPr>
        <w:t xml:space="preserve"> 577.</w:t>
      </w:r>
    </w:p>
  </w:footnote>
  <w:footnote w:id="17">
    <w:p w14:paraId="73E4A470" w14:textId="116A2594" w:rsidR="00CE164C" w:rsidRPr="00890A48" w:rsidRDefault="00CE164C" w:rsidP="004F0677">
      <w:pPr>
        <w:pStyle w:val="NoSpacing"/>
        <w:jc w:val="both"/>
        <w:rPr>
          <w:sz w:val="20"/>
          <w:szCs w:val="20"/>
        </w:rPr>
      </w:pPr>
      <w:r w:rsidRPr="00890A48">
        <w:rPr>
          <w:rStyle w:val="FootnoteReference"/>
          <w:sz w:val="20"/>
          <w:szCs w:val="20"/>
        </w:rPr>
        <w:footnoteRef/>
      </w:r>
      <w:r w:rsidRPr="00890A48">
        <w:rPr>
          <w:sz w:val="20"/>
          <w:szCs w:val="20"/>
        </w:rPr>
        <w:t xml:space="preserve"> E.g., Nicol, op. cit., n, 9;  and Tomkins, op. cit., n, 9.</w:t>
      </w:r>
    </w:p>
  </w:footnote>
  <w:footnote w:id="18">
    <w:p w14:paraId="25856090" w14:textId="03EF3C78" w:rsidR="00CE164C" w:rsidRPr="00890A48" w:rsidRDefault="00CE164C" w:rsidP="004F0677">
      <w:pPr>
        <w:pStyle w:val="NoSpacing"/>
        <w:jc w:val="both"/>
        <w:rPr>
          <w:rFonts w:asciiTheme="majorHAnsi" w:hAnsiTheme="majorHAnsi"/>
          <w:b/>
          <w:sz w:val="20"/>
          <w:szCs w:val="20"/>
        </w:rPr>
      </w:pPr>
      <w:r w:rsidRPr="00890A48">
        <w:rPr>
          <w:rStyle w:val="FootnoteReference"/>
          <w:sz w:val="20"/>
          <w:szCs w:val="20"/>
        </w:rPr>
        <w:footnoteRef/>
      </w:r>
      <w:r w:rsidRPr="00890A48">
        <w:rPr>
          <w:sz w:val="20"/>
          <w:szCs w:val="20"/>
        </w:rPr>
        <w:t xml:space="preserve"> E.g., R. Hazell, ‘Who is the Guardian of Legal Values in the Legislative Process: Parliament or the Executive?’ [2004] </w:t>
      </w:r>
      <w:r w:rsidRPr="00890A48">
        <w:rPr>
          <w:i/>
          <w:sz w:val="20"/>
          <w:szCs w:val="20"/>
        </w:rPr>
        <w:t>Public Law</w:t>
      </w:r>
      <w:r w:rsidRPr="00890A48">
        <w:rPr>
          <w:sz w:val="20"/>
          <w:szCs w:val="20"/>
        </w:rPr>
        <w:t xml:space="preserve"> 495; and </w:t>
      </w:r>
      <w:r w:rsidRPr="00890A48">
        <w:rPr>
          <w:rFonts w:cstheme="minorHAnsi"/>
          <w:sz w:val="20"/>
          <w:szCs w:val="20"/>
        </w:rPr>
        <w:t xml:space="preserve">D. Feldman, ‘Parliamentary Scrutiny of Legislation and Human Rights’ [2002] </w:t>
      </w:r>
      <w:r w:rsidRPr="00890A48">
        <w:rPr>
          <w:rFonts w:cstheme="minorHAnsi"/>
          <w:i/>
          <w:sz w:val="20"/>
          <w:szCs w:val="20"/>
        </w:rPr>
        <w:t>Public</w:t>
      </w:r>
      <w:r w:rsidRPr="00890A48">
        <w:rPr>
          <w:rFonts w:cstheme="minorHAnsi"/>
          <w:sz w:val="20"/>
          <w:szCs w:val="20"/>
        </w:rPr>
        <w:t xml:space="preserve"> </w:t>
      </w:r>
      <w:r w:rsidRPr="00890A48">
        <w:rPr>
          <w:rFonts w:cstheme="minorHAnsi"/>
          <w:i/>
          <w:sz w:val="20"/>
          <w:szCs w:val="20"/>
        </w:rPr>
        <w:t>Law</w:t>
      </w:r>
      <w:r w:rsidRPr="00890A48">
        <w:rPr>
          <w:rFonts w:cstheme="minorHAnsi"/>
          <w:sz w:val="20"/>
          <w:szCs w:val="20"/>
        </w:rPr>
        <w:t xml:space="preserve"> 323.</w:t>
      </w:r>
    </w:p>
  </w:footnote>
  <w:footnote w:id="19">
    <w:p w14:paraId="08D6422B" w14:textId="052F2EFF"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M. Hunt, ‘The Joint Committee on Human Rights’ in </w:t>
      </w:r>
      <w:r w:rsidRPr="00890A48">
        <w:rPr>
          <w:i/>
          <w:sz w:val="20"/>
          <w:szCs w:val="20"/>
        </w:rPr>
        <w:t>Parliament and the Law</w:t>
      </w:r>
      <w:r w:rsidRPr="00890A48">
        <w:rPr>
          <w:sz w:val="20"/>
          <w:szCs w:val="20"/>
        </w:rPr>
        <w:t xml:space="preserve"> eds. A. Horne et al. (2015) 249; and A. Le Sueur and J. </w:t>
      </w:r>
      <w:proofErr w:type="spellStart"/>
      <w:r w:rsidRPr="00890A48">
        <w:rPr>
          <w:sz w:val="20"/>
          <w:szCs w:val="20"/>
        </w:rPr>
        <w:t>Caird</w:t>
      </w:r>
      <w:proofErr w:type="spellEnd"/>
      <w:r w:rsidRPr="00890A48">
        <w:rPr>
          <w:sz w:val="20"/>
          <w:szCs w:val="20"/>
        </w:rPr>
        <w:t xml:space="preserve">, ‘The House of Lords Select Committee on the Constitution’ in </w:t>
      </w:r>
      <w:r w:rsidRPr="00890A48">
        <w:rPr>
          <w:i/>
          <w:sz w:val="20"/>
          <w:szCs w:val="20"/>
        </w:rPr>
        <w:t>Parliament and the Law</w:t>
      </w:r>
      <w:r w:rsidRPr="00890A48">
        <w:rPr>
          <w:sz w:val="20"/>
          <w:szCs w:val="20"/>
        </w:rPr>
        <w:t>, eds. A. Horne et al. (2015) 281.</w:t>
      </w:r>
    </w:p>
  </w:footnote>
  <w:footnote w:id="20">
    <w:p w14:paraId="3D867C35" w14:textId="1CB50DD0" w:rsidR="00CE164C" w:rsidRPr="00890A48" w:rsidRDefault="00CE164C" w:rsidP="004F0677">
      <w:pPr>
        <w:pStyle w:val="NoSpacing"/>
        <w:jc w:val="both"/>
        <w:rPr>
          <w:sz w:val="20"/>
          <w:szCs w:val="20"/>
        </w:rPr>
      </w:pPr>
      <w:r w:rsidRPr="00890A48">
        <w:rPr>
          <w:rStyle w:val="FootnoteReference"/>
          <w:sz w:val="20"/>
          <w:szCs w:val="20"/>
        </w:rPr>
        <w:footnoteRef/>
      </w:r>
      <w:r w:rsidRPr="00890A48">
        <w:rPr>
          <w:sz w:val="20"/>
          <w:szCs w:val="20"/>
        </w:rPr>
        <w:t xml:space="preserve"> E.g., C. </w:t>
      </w:r>
      <w:proofErr w:type="spellStart"/>
      <w:r w:rsidRPr="00890A48">
        <w:rPr>
          <w:sz w:val="20"/>
          <w:szCs w:val="20"/>
        </w:rPr>
        <w:t>McCorkindale</w:t>
      </w:r>
      <w:proofErr w:type="spellEnd"/>
      <w:r w:rsidRPr="00890A48">
        <w:rPr>
          <w:sz w:val="20"/>
          <w:szCs w:val="20"/>
        </w:rPr>
        <w:t xml:space="preserve"> and J. Hiebert, ‘Vetting Bills in the Scottish Parliament for Legislative Competence’ (2017) 21(3) </w:t>
      </w:r>
      <w:r w:rsidRPr="00890A48">
        <w:rPr>
          <w:i/>
          <w:sz w:val="20"/>
          <w:szCs w:val="20"/>
        </w:rPr>
        <w:t>Edinburgh Law Rev.</w:t>
      </w:r>
      <w:r w:rsidRPr="00890A48">
        <w:rPr>
          <w:sz w:val="20"/>
          <w:szCs w:val="20"/>
        </w:rPr>
        <w:t xml:space="preserve"> 319; and G. Appleby and A. </w:t>
      </w:r>
      <w:proofErr w:type="spellStart"/>
      <w:r w:rsidRPr="00890A48">
        <w:rPr>
          <w:sz w:val="20"/>
          <w:szCs w:val="20"/>
        </w:rPr>
        <w:t>Olijnyk</w:t>
      </w:r>
      <w:proofErr w:type="spellEnd"/>
      <w:r w:rsidRPr="00890A48">
        <w:rPr>
          <w:sz w:val="20"/>
          <w:szCs w:val="20"/>
        </w:rPr>
        <w:t xml:space="preserve">, ‘Parliamentary Deliberation on Constitutional Limits in the Legislative Process’ (2017) 40(3) </w:t>
      </w:r>
      <w:r w:rsidRPr="00890A48">
        <w:rPr>
          <w:i/>
          <w:sz w:val="20"/>
          <w:szCs w:val="20"/>
        </w:rPr>
        <w:t>University of New South Wales Law J</w:t>
      </w:r>
      <w:r w:rsidRPr="00890A48">
        <w:rPr>
          <w:sz w:val="20"/>
          <w:szCs w:val="20"/>
        </w:rPr>
        <w:t xml:space="preserve"> 976. On a culture of justification, see M. Hunt, ‘Introduction’ in </w:t>
      </w:r>
      <w:r w:rsidRPr="00890A48">
        <w:rPr>
          <w:i/>
          <w:sz w:val="20"/>
          <w:szCs w:val="20"/>
        </w:rPr>
        <w:t>Parliaments and Human Rights</w:t>
      </w:r>
      <w:r w:rsidRPr="00890A48">
        <w:rPr>
          <w:sz w:val="20"/>
          <w:szCs w:val="20"/>
        </w:rPr>
        <w:t>, eds. M. Hunt et al. (2015) 1, 2.</w:t>
      </w:r>
    </w:p>
  </w:footnote>
  <w:footnote w:id="21">
    <w:p w14:paraId="77E95B29" w14:textId="4D38821B" w:rsidR="00CE164C" w:rsidRPr="00890A48" w:rsidRDefault="00CE164C" w:rsidP="004F0677">
      <w:pPr>
        <w:jc w:val="both"/>
        <w:rPr>
          <w:sz w:val="20"/>
          <w:szCs w:val="20"/>
        </w:rPr>
      </w:pPr>
      <w:r w:rsidRPr="00890A48">
        <w:rPr>
          <w:rStyle w:val="FootnoteReference"/>
          <w:sz w:val="20"/>
          <w:szCs w:val="20"/>
        </w:rPr>
        <w:footnoteRef/>
      </w:r>
      <w:r w:rsidRPr="00890A48">
        <w:rPr>
          <w:sz w:val="20"/>
          <w:szCs w:val="20"/>
        </w:rPr>
        <w:t xml:space="preserve"> See Regulation (EC) No 1049/2001 regarding public access to European Parliament, Council and Commission documents and </w:t>
      </w:r>
      <w:r w:rsidRPr="00890A48">
        <w:rPr>
          <w:i/>
          <w:sz w:val="20"/>
          <w:szCs w:val="20"/>
        </w:rPr>
        <w:t xml:space="preserve">De </w:t>
      </w:r>
      <w:proofErr w:type="spellStart"/>
      <w:r w:rsidRPr="00890A48">
        <w:rPr>
          <w:i/>
          <w:sz w:val="20"/>
          <w:szCs w:val="20"/>
        </w:rPr>
        <w:t>Capitani</w:t>
      </w:r>
      <w:proofErr w:type="spellEnd"/>
      <w:r w:rsidRPr="00890A48">
        <w:rPr>
          <w:i/>
          <w:sz w:val="20"/>
          <w:szCs w:val="20"/>
        </w:rPr>
        <w:t xml:space="preserve"> v European Parliament</w:t>
      </w:r>
      <w:r w:rsidRPr="00890A48">
        <w:rPr>
          <w:sz w:val="20"/>
          <w:szCs w:val="20"/>
        </w:rPr>
        <w:t xml:space="preserve"> (Case T-540/15, 22 March 2018). </w:t>
      </w:r>
    </w:p>
  </w:footnote>
  <w:footnote w:id="22">
    <w:p w14:paraId="5BD928D2" w14:textId="2E1724E0" w:rsidR="00CE164C" w:rsidRPr="00890A48" w:rsidRDefault="00CE164C" w:rsidP="002F31F2">
      <w:pPr>
        <w:pStyle w:val="NoSpacing"/>
        <w:jc w:val="both"/>
        <w:rPr>
          <w:sz w:val="20"/>
          <w:szCs w:val="20"/>
        </w:rPr>
      </w:pPr>
      <w:r w:rsidRPr="00890A48">
        <w:rPr>
          <w:rStyle w:val="FootnoteReference"/>
          <w:sz w:val="20"/>
          <w:szCs w:val="20"/>
        </w:rPr>
        <w:footnoteRef/>
      </w:r>
      <w:r w:rsidRPr="00890A48">
        <w:rPr>
          <w:sz w:val="20"/>
          <w:szCs w:val="20"/>
        </w:rPr>
        <w:t xml:space="preserve"> E.g., Hazell, op. cit., n. 18; A. Kavanagh, ‘The Joint Committee on Human Rights: A Hybrid Breed of Constitutional Watchdog’ in </w:t>
      </w:r>
      <w:r w:rsidRPr="00890A48">
        <w:rPr>
          <w:i/>
          <w:sz w:val="20"/>
          <w:szCs w:val="20"/>
        </w:rPr>
        <w:t>Parliaments and Human Rights</w:t>
      </w:r>
      <w:r w:rsidRPr="00890A48">
        <w:rPr>
          <w:sz w:val="20"/>
          <w:szCs w:val="20"/>
        </w:rPr>
        <w:t>, eds. M. Hunt et al. (2015) 115.</w:t>
      </w:r>
    </w:p>
  </w:footnote>
  <w:footnote w:id="23">
    <w:p w14:paraId="1DDE19EC" w14:textId="6179D406" w:rsidR="00CE164C" w:rsidRPr="00890A48" w:rsidRDefault="00CE164C" w:rsidP="004F0677">
      <w:pPr>
        <w:pStyle w:val="NoSpacing"/>
        <w:jc w:val="both"/>
        <w:rPr>
          <w:sz w:val="20"/>
          <w:szCs w:val="20"/>
        </w:rPr>
      </w:pPr>
      <w:r w:rsidRPr="00890A48">
        <w:rPr>
          <w:rStyle w:val="FootnoteReference"/>
          <w:sz w:val="20"/>
          <w:szCs w:val="20"/>
        </w:rPr>
        <w:footnoteRef/>
      </w:r>
      <w:r w:rsidRPr="00890A48">
        <w:rPr>
          <w:sz w:val="20"/>
          <w:szCs w:val="20"/>
        </w:rPr>
        <w:t xml:space="preserve"> A rare exception is A. Kennon ‘Legal Advice to Parliament’ in </w:t>
      </w:r>
      <w:r w:rsidRPr="00890A48">
        <w:rPr>
          <w:i/>
          <w:sz w:val="20"/>
          <w:szCs w:val="20"/>
        </w:rPr>
        <w:t>Parliament and the Law</w:t>
      </w:r>
      <w:r w:rsidRPr="00890A48">
        <w:rPr>
          <w:sz w:val="20"/>
          <w:szCs w:val="20"/>
        </w:rPr>
        <w:t>, eds. A. Horne et al. (2015) 121.</w:t>
      </w:r>
    </w:p>
  </w:footnote>
  <w:footnote w:id="24">
    <w:p w14:paraId="6C95327F" w14:textId="64D18495" w:rsidR="00CE164C" w:rsidRPr="00890A48" w:rsidRDefault="00CE164C" w:rsidP="004F0677">
      <w:pPr>
        <w:pStyle w:val="NoSpacing"/>
        <w:jc w:val="both"/>
        <w:rPr>
          <w:sz w:val="20"/>
          <w:szCs w:val="20"/>
        </w:rPr>
      </w:pPr>
      <w:r w:rsidRPr="00890A48">
        <w:rPr>
          <w:rStyle w:val="FootnoteReference"/>
          <w:sz w:val="20"/>
          <w:szCs w:val="20"/>
        </w:rPr>
        <w:footnoteRef/>
      </w:r>
      <w:r w:rsidRPr="00890A48">
        <w:rPr>
          <w:sz w:val="20"/>
          <w:szCs w:val="20"/>
        </w:rPr>
        <w:t xml:space="preserve"> </w:t>
      </w:r>
      <w:r w:rsidRPr="00890A48">
        <w:rPr>
          <w:bCs/>
          <w:sz w:val="20"/>
          <w:szCs w:val="20"/>
        </w:rPr>
        <w:t xml:space="preserve">C. Evans and S. Evans, “Messages from the front line: Parliamentarians’ perspectives on rights protection” in </w:t>
      </w:r>
      <w:r w:rsidRPr="00890A48">
        <w:rPr>
          <w:bCs/>
          <w:i/>
          <w:sz w:val="20"/>
          <w:szCs w:val="20"/>
        </w:rPr>
        <w:t>The Legal Protection of Human Rights: Sceptical Essays</w:t>
      </w:r>
      <w:r w:rsidRPr="00890A48">
        <w:rPr>
          <w:bCs/>
          <w:sz w:val="20"/>
          <w:szCs w:val="20"/>
        </w:rPr>
        <w:t xml:space="preserve">, eds. T. Campbell et al. (2011) 329; and </w:t>
      </w:r>
      <w:r w:rsidRPr="00890A48">
        <w:rPr>
          <w:sz w:val="20"/>
          <w:szCs w:val="20"/>
        </w:rPr>
        <w:t xml:space="preserve">P. </w:t>
      </w:r>
      <w:proofErr w:type="spellStart"/>
      <w:r w:rsidRPr="00890A48">
        <w:rPr>
          <w:sz w:val="20"/>
          <w:szCs w:val="20"/>
        </w:rPr>
        <w:t>Yowell</w:t>
      </w:r>
      <w:proofErr w:type="spellEnd"/>
      <w:r w:rsidRPr="00890A48">
        <w:rPr>
          <w:sz w:val="20"/>
          <w:szCs w:val="20"/>
        </w:rPr>
        <w:t xml:space="preserve">, ‘The Impact of the Joint Committee on Human Rights on Legislative Deliberation’ in </w:t>
      </w:r>
      <w:r w:rsidRPr="00890A48">
        <w:rPr>
          <w:i/>
          <w:sz w:val="20"/>
          <w:szCs w:val="20"/>
        </w:rPr>
        <w:t>Parliaments and Human Rights</w:t>
      </w:r>
      <w:r w:rsidRPr="00890A48">
        <w:rPr>
          <w:sz w:val="20"/>
          <w:szCs w:val="20"/>
        </w:rPr>
        <w:t>, eds. M. Hunt et al (2015) 141.</w:t>
      </w:r>
    </w:p>
  </w:footnote>
  <w:footnote w:id="25">
    <w:p w14:paraId="4786094C" w14:textId="3DA725ED" w:rsidR="00CE164C" w:rsidRPr="00890A48" w:rsidRDefault="00CE164C" w:rsidP="004F0677">
      <w:pPr>
        <w:pStyle w:val="NoSpacing"/>
        <w:jc w:val="both"/>
        <w:rPr>
          <w:sz w:val="20"/>
          <w:szCs w:val="20"/>
        </w:rPr>
      </w:pPr>
      <w:r w:rsidRPr="00890A48">
        <w:rPr>
          <w:rStyle w:val="FootnoteReference"/>
          <w:sz w:val="20"/>
          <w:szCs w:val="20"/>
        </w:rPr>
        <w:footnoteRef/>
      </w:r>
      <w:r w:rsidRPr="00890A48">
        <w:rPr>
          <w:sz w:val="20"/>
          <w:szCs w:val="20"/>
        </w:rPr>
        <w:t xml:space="preserve"> Thus, we regretfully exclude the House of Lords Privileges Committee report, </w:t>
      </w:r>
      <w:r w:rsidRPr="00890A48">
        <w:rPr>
          <w:i/>
          <w:sz w:val="20"/>
          <w:szCs w:val="20"/>
        </w:rPr>
        <w:t>The Powers of the House of Lords in respect of its Members</w:t>
      </w:r>
      <w:r w:rsidRPr="00890A48">
        <w:rPr>
          <w:sz w:val="20"/>
          <w:szCs w:val="20"/>
        </w:rPr>
        <w:t xml:space="preserve"> (HL 87, 2009), which included the full legal advice of both Baroness Scotland QC (then Attorney-General) and Lord MacKay (former Lord Chancellor and ex-Law Lord): neither were ‘in house lawyers’. </w:t>
      </w:r>
    </w:p>
  </w:footnote>
  <w:footnote w:id="26">
    <w:p w14:paraId="5FE1C643" w14:textId="77777777" w:rsidR="00CE164C" w:rsidRPr="00890A48" w:rsidRDefault="00CE164C" w:rsidP="00E17042">
      <w:pPr>
        <w:pStyle w:val="NoSpacing"/>
        <w:jc w:val="both"/>
        <w:rPr>
          <w:sz w:val="20"/>
          <w:szCs w:val="20"/>
          <w:lang w:val="en-US"/>
        </w:rPr>
      </w:pPr>
      <w:r w:rsidRPr="00890A48">
        <w:rPr>
          <w:rStyle w:val="FootnoteReference"/>
          <w:sz w:val="20"/>
          <w:szCs w:val="20"/>
        </w:rPr>
        <w:footnoteRef/>
      </w:r>
      <w:r w:rsidRPr="00890A48">
        <w:rPr>
          <w:sz w:val="20"/>
          <w:szCs w:val="20"/>
        </w:rPr>
        <w:t xml:space="preserve"> We have identified two examples of leaked legal advice: ‘</w:t>
      </w:r>
      <w:r w:rsidRPr="00890A48">
        <w:rPr>
          <w:sz w:val="20"/>
          <w:szCs w:val="20"/>
          <w:lang w:val="en-US"/>
        </w:rPr>
        <w:t xml:space="preserve">Blair's EU safeguards 'may not be watertight'’, </w:t>
      </w:r>
      <w:r w:rsidRPr="00890A48">
        <w:rPr>
          <w:i/>
          <w:sz w:val="20"/>
          <w:szCs w:val="20"/>
          <w:lang w:val="en-US"/>
        </w:rPr>
        <w:t xml:space="preserve">the Telegraph </w:t>
      </w:r>
      <w:r w:rsidRPr="00890A48">
        <w:rPr>
          <w:sz w:val="20"/>
          <w:szCs w:val="20"/>
          <w:lang w:val="en-US"/>
        </w:rPr>
        <w:t xml:space="preserve">(26 June 2007), at </w:t>
      </w:r>
    </w:p>
    <w:p w14:paraId="737FE0F0" w14:textId="77777777" w:rsidR="00CE164C" w:rsidRPr="00890A48" w:rsidRDefault="00CE164C" w:rsidP="00E17042">
      <w:pPr>
        <w:pStyle w:val="NoSpacing"/>
        <w:jc w:val="both"/>
        <w:rPr>
          <w:sz w:val="20"/>
          <w:szCs w:val="20"/>
        </w:rPr>
      </w:pPr>
      <w:r w:rsidRPr="00890A48">
        <w:rPr>
          <w:sz w:val="20"/>
          <w:szCs w:val="20"/>
        </w:rPr>
        <w:t>http://www.telegraph.co.uk/news/uknews/1555656/Blairs-EU-safeguards-may-not-be-watertight.html; and ‘</w:t>
      </w:r>
      <w:r w:rsidRPr="00890A48">
        <w:rPr>
          <w:rFonts w:cstheme="minorHAnsi"/>
          <w:sz w:val="20"/>
          <w:szCs w:val="20"/>
        </w:rPr>
        <w:t xml:space="preserve">Leaked Commons legal analysis of Brexit deal vindicates Trump, contradicts May and adds to Brexiteers’ concerns’, </w:t>
      </w:r>
      <w:proofErr w:type="spellStart"/>
      <w:r w:rsidRPr="00890A48">
        <w:rPr>
          <w:rFonts w:cstheme="minorHAnsi"/>
          <w:sz w:val="20"/>
          <w:szCs w:val="20"/>
        </w:rPr>
        <w:t>BrexitCentral</w:t>
      </w:r>
      <w:proofErr w:type="spellEnd"/>
      <w:r w:rsidRPr="00890A48">
        <w:rPr>
          <w:rFonts w:cstheme="minorHAnsi"/>
          <w:sz w:val="20"/>
          <w:szCs w:val="20"/>
        </w:rPr>
        <w:t xml:space="preserve"> (2 December 2018), at</w:t>
      </w:r>
    </w:p>
    <w:p w14:paraId="0BE546E9" w14:textId="77777777" w:rsidR="00CE164C" w:rsidRPr="00890A48" w:rsidRDefault="00CE164C" w:rsidP="00E17042">
      <w:pPr>
        <w:pStyle w:val="FootnoteText"/>
        <w:rPr>
          <w:sz w:val="20"/>
          <w:szCs w:val="20"/>
        </w:rPr>
      </w:pPr>
      <w:r w:rsidRPr="00890A48">
        <w:rPr>
          <w:sz w:val="20"/>
          <w:szCs w:val="20"/>
        </w:rPr>
        <w:t>https://brexitcentral.com/leaked-commons-legal-analysis-brexit-deal-vindicates-trump-contradicts-may-adds-brexiteers-concerns/.</w:t>
      </w:r>
    </w:p>
  </w:footnote>
  <w:footnote w:id="27">
    <w:p w14:paraId="6450DCCC" w14:textId="74ACADD7" w:rsidR="00CE164C" w:rsidRPr="00890A48" w:rsidRDefault="00CE164C" w:rsidP="00EE1114">
      <w:pPr>
        <w:pStyle w:val="NoSpacing"/>
        <w:jc w:val="both"/>
        <w:rPr>
          <w:rFonts w:ascii="Calibri" w:eastAsia="Times New Roman" w:hAnsi="Calibri" w:cs="Times New Roman"/>
          <w:color w:val="000000"/>
          <w:sz w:val="20"/>
          <w:szCs w:val="20"/>
        </w:rPr>
      </w:pPr>
      <w:r w:rsidRPr="00890A48">
        <w:rPr>
          <w:rStyle w:val="FootnoteReference"/>
          <w:sz w:val="20"/>
          <w:szCs w:val="20"/>
        </w:rPr>
        <w:footnoteRef/>
      </w:r>
      <w:r w:rsidRPr="00890A48">
        <w:rPr>
          <w:sz w:val="20"/>
          <w:szCs w:val="20"/>
        </w:rPr>
        <w:t xml:space="preserve"> </w:t>
      </w:r>
      <w:r w:rsidRPr="00890A48">
        <w:rPr>
          <w:rFonts w:ascii="Calibri" w:eastAsia="Times New Roman" w:hAnsi="Calibri" w:cs="Times New Roman"/>
          <w:color w:val="000000"/>
          <w:sz w:val="20"/>
          <w:szCs w:val="20"/>
        </w:rPr>
        <w:t>House of Commons Committee on Standards and Privileges Privilege: Hacking of Members' mobile phones (HC 628, 2011)</w:t>
      </w:r>
      <w:r w:rsidRPr="00890A48">
        <w:rPr>
          <w:sz w:val="20"/>
          <w:szCs w:val="20"/>
        </w:rPr>
        <w:t xml:space="preserve">; </w:t>
      </w:r>
      <w:r w:rsidRPr="00890A48">
        <w:rPr>
          <w:rFonts w:ascii="Calibri" w:eastAsia="Times New Roman" w:hAnsi="Calibri" w:cs="Times New Roman"/>
          <w:color w:val="000000"/>
          <w:sz w:val="20"/>
          <w:szCs w:val="20"/>
        </w:rPr>
        <w:t xml:space="preserve">House of Commons EU Scrutiny Committee, </w:t>
      </w:r>
      <w:r w:rsidRPr="00890A48">
        <w:rPr>
          <w:i/>
          <w:sz w:val="20"/>
          <w:szCs w:val="20"/>
        </w:rPr>
        <w:t>The Inquiry into the UK Government’s renegotiation of EU membership: Parliamentary Sovereignty and Scrutiny</w:t>
      </w:r>
      <w:r w:rsidRPr="00890A48">
        <w:rPr>
          <w:sz w:val="20"/>
          <w:szCs w:val="20"/>
        </w:rPr>
        <w:t xml:space="preserve"> ‘Preliminary note on the outcome of negotiations’, &lt;https://www.parliament.uk/business/committees/committees-a-z/commons-select/european-scrutiny-committee/news-parliament-20151/legal-opinion-24-feb-16/&gt;; </w:t>
      </w:r>
      <w:r w:rsidRPr="00890A48">
        <w:rPr>
          <w:rFonts w:ascii="Calibri" w:eastAsia="Times New Roman" w:hAnsi="Calibri" w:cs="Times New Roman"/>
          <w:color w:val="000000"/>
          <w:sz w:val="20"/>
          <w:szCs w:val="20"/>
        </w:rPr>
        <w:t xml:space="preserve">House of Commons Public Administration Committee </w:t>
      </w:r>
      <w:r w:rsidRPr="00890A48">
        <w:rPr>
          <w:rFonts w:ascii="Calibri" w:eastAsia="Times New Roman" w:hAnsi="Calibri" w:cs="Times New Roman"/>
          <w:i/>
          <w:color w:val="000000"/>
          <w:sz w:val="20"/>
          <w:szCs w:val="20"/>
        </w:rPr>
        <w:t>Lessons for Civil Service impartiality from the Scottish independence referendum</w:t>
      </w:r>
      <w:r w:rsidRPr="00890A48">
        <w:rPr>
          <w:rFonts w:ascii="Calibri" w:eastAsia="Times New Roman" w:hAnsi="Calibri" w:cs="Times New Roman"/>
          <w:color w:val="000000"/>
          <w:sz w:val="20"/>
          <w:szCs w:val="20"/>
        </w:rPr>
        <w:t xml:space="preserve"> (HC 11, 2015)</w:t>
      </w:r>
      <w:r w:rsidRPr="00890A48">
        <w:rPr>
          <w:sz w:val="20"/>
          <w:szCs w:val="20"/>
        </w:rPr>
        <w:t xml:space="preserve">; </w:t>
      </w:r>
      <w:r w:rsidRPr="00890A48">
        <w:rPr>
          <w:rFonts w:ascii="Calibri" w:eastAsia="Times New Roman" w:hAnsi="Calibri" w:cs="Times New Roman"/>
          <w:color w:val="000000"/>
          <w:sz w:val="20"/>
          <w:szCs w:val="20"/>
        </w:rPr>
        <w:t xml:space="preserve">House of Commons Women and Equalities Committee and the Joint Committee on Human Rights, ‘The proposed appointment of David Isaac as the Chair of the Equality and Human Rights Commission’; House of Commons Public Administration and Constitutional Affairs Committee, </w:t>
      </w:r>
      <w:r w:rsidRPr="00890A48">
        <w:rPr>
          <w:i/>
          <w:sz w:val="20"/>
          <w:szCs w:val="20"/>
        </w:rPr>
        <w:t>Lessons learned from the EU Referendum</w:t>
      </w:r>
      <w:r w:rsidRPr="00890A48">
        <w:rPr>
          <w:sz w:val="20"/>
          <w:szCs w:val="20"/>
        </w:rPr>
        <w:t xml:space="preserve"> (HC 496, 2017); </w:t>
      </w:r>
      <w:r w:rsidRPr="00890A48">
        <w:rPr>
          <w:rFonts w:ascii="Calibri" w:eastAsia="Times New Roman" w:hAnsi="Calibri" w:cs="Times New Roman"/>
          <w:color w:val="000000"/>
          <w:sz w:val="20"/>
          <w:szCs w:val="20"/>
        </w:rPr>
        <w:t xml:space="preserve">House of Lords EU Committee, op. cit., n. 1; House of Lords Lord Speaker’s Committee, </w:t>
      </w:r>
      <w:r w:rsidRPr="00890A48">
        <w:rPr>
          <w:rFonts w:ascii="Calibri" w:eastAsia="Times New Roman" w:hAnsi="Calibri" w:cs="Times New Roman"/>
          <w:i/>
          <w:color w:val="000000"/>
          <w:sz w:val="20"/>
          <w:szCs w:val="20"/>
        </w:rPr>
        <w:t>Report of the Lord Speaker’s Committee on the Size of the House</w:t>
      </w:r>
      <w:r w:rsidRPr="00890A48">
        <w:rPr>
          <w:rFonts w:ascii="Calibri" w:eastAsia="Times New Roman" w:hAnsi="Calibri" w:cs="Times New Roman"/>
          <w:color w:val="000000"/>
          <w:sz w:val="20"/>
          <w:szCs w:val="20"/>
        </w:rPr>
        <w:t xml:space="preserve"> (2017)—although, </w:t>
      </w:r>
      <w:r w:rsidRPr="00890A48">
        <w:rPr>
          <w:sz w:val="20"/>
          <w:szCs w:val="20"/>
        </w:rPr>
        <w:t>technically, the Lords Speaker’s Committee was not a select committee—it was an ad hoc committee established under the aegis of the Lord Speaker. This report did, however, include the full legal advice provided by the current House of Lords Counsel to the Chairman of Committees, James Cooper.</w:t>
      </w:r>
    </w:p>
  </w:footnote>
  <w:footnote w:id="28">
    <w:p w14:paraId="5BF7DB71" w14:textId="37067BBF" w:rsidR="00CE164C" w:rsidRPr="00890A48" w:rsidRDefault="00CE164C" w:rsidP="000D2C9A">
      <w:pPr>
        <w:pStyle w:val="FootnoteText"/>
        <w:rPr>
          <w:sz w:val="20"/>
          <w:szCs w:val="20"/>
        </w:rPr>
      </w:pPr>
      <w:r w:rsidRPr="00890A48">
        <w:rPr>
          <w:rStyle w:val="FootnoteReference"/>
          <w:sz w:val="20"/>
          <w:szCs w:val="20"/>
        </w:rPr>
        <w:footnoteRef/>
      </w:r>
      <w:r w:rsidRPr="00890A48">
        <w:rPr>
          <w:sz w:val="20"/>
          <w:szCs w:val="20"/>
        </w:rPr>
        <w:t xml:space="preserve"> P. Selznick, </w:t>
      </w:r>
      <w:r w:rsidRPr="00890A48">
        <w:rPr>
          <w:i/>
          <w:sz w:val="20"/>
          <w:szCs w:val="20"/>
        </w:rPr>
        <w:t>Leadership in Administration</w:t>
      </w:r>
      <w:r w:rsidRPr="00890A48">
        <w:rPr>
          <w:sz w:val="20"/>
          <w:szCs w:val="20"/>
        </w:rPr>
        <w:t xml:space="preserve"> (1984), p. 82.</w:t>
      </w:r>
    </w:p>
  </w:footnote>
  <w:footnote w:id="29">
    <w:p w14:paraId="299FFC7A" w14:textId="422E02A6"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House of Commons, </w:t>
      </w:r>
      <w:r w:rsidRPr="00890A48">
        <w:rPr>
          <w:i/>
          <w:sz w:val="20"/>
          <w:szCs w:val="20"/>
        </w:rPr>
        <w:t>Staff Handbook</w:t>
      </w:r>
      <w:r w:rsidRPr="00890A48">
        <w:rPr>
          <w:sz w:val="20"/>
          <w:szCs w:val="20"/>
        </w:rPr>
        <w:t xml:space="preserve"> (6th </w:t>
      </w:r>
      <w:proofErr w:type="spellStart"/>
      <w:r w:rsidRPr="00890A48">
        <w:rPr>
          <w:sz w:val="20"/>
          <w:szCs w:val="20"/>
        </w:rPr>
        <w:t>ed</w:t>
      </w:r>
      <w:proofErr w:type="spellEnd"/>
      <w:r w:rsidRPr="00890A48">
        <w:rPr>
          <w:sz w:val="20"/>
          <w:szCs w:val="20"/>
        </w:rPr>
        <w:t xml:space="preserve">, 2013), paras 5.1-5.2; and House of Lords, </w:t>
      </w:r>
      <w:r w:rsidRPr="00890A48">
        <w:rPr>
          <w:i/>
          <w:sz w:val="20"/>
          <w:szCs w:val="20"/>
        </w:rPr>
        <w:t>Staff Handbook</w:t>
      </w:r>
      <w:r w:rsidRPr="00890A48">
        <w:rPr>
          <w:sz w:val="20"/>
          <w:szCs w:val="20"/>
        </w:rPr>
        <w:t xml:space="preserve"> (2012), para 12.1.</w:t>
      </w:r>
    </w:p>
  </w:footnote>
  <w:footnote w:id="30">
    <w:p w14:paraId="79A59FFF" w14:textId="0A452C8B" w:rsidR="00CE164C" w:rsidRPr="00890A48" w:rsidRDefault="00CE164C" w:rsidP="004F0677">
      <w:pPr>
        <w:pStyle w:val="FootnoteText"/>
        <w:jc w:val="both"/>
        <w:rPr>
          <w:rFonts w:cstheme="minorHAnsi"/>
          <w:sz w:val="20"/>
          <w:szCs w:val="20"/>
        </w:rPr>
      </w:pPr>
      <w:r w:rsidRPr="00890A48">
        <w:rPr>
          <w:rStyle w:val="FootnoteReference"/>
          <w:rFonts w:cstheme="minorHAnsi"/>
          <w:sz w:val="20"/>
          <w:szCs w:val="20"/>
        </w:rPr>
        <w:footnoteRef/>
      </w:r>
      <w:r w:rsidRPr="00890A48">
        <w:rPr>
          <w:rFonts w:cstheme="minorHAnsi"/>
          <w:sz w:val="20"/>
          <w:szCs w:val="20"/>
        </w:rPr>
        <w:t xml:space="preserve"> Feldman, op. cit. n. 18, p. 347.</w:t>
      </w:r>
    </w:p>
  </w:footnote>
  <w:footnote w:id="31">
    <w:p w14:paraId="61F7E502" w14:textId="6AB979EC" w:rsidR="00CE164C" w:rsidRPr="00890A48" w:rsidRDefault="00CE164C" w:rsidP="004F0677">
      <w:pPr>
        <w:pStyle w:val="NoSpacing"/>
        <w:jc w:val="both"/>
        <w:rPr>
          <w:sz w:val="20"/>
          <w:szCs w:val="20"/>
        </w:rPr>
      </w:pPr>
      <w:r w:rsidRPr="00890A48">
        <w:rPr>
          <w:rStyle w:val="FootnoteReference"/>
          <w:rFonts w:cstheme="minorHAnsi"/>
          <w:sz w:val="20"/>
          <w:szCs w:val="20"/>
        </w:rPr>
        <w:footnoteRef/>
      </w:r>
      <w:r w:rsidRPr="00890A48">
        <w:rPr>
          <w:rFonts w:cstheme="minorHAnsi"/>
          <w:sz w:val="20"/>
          <w:szCs w:val="20"/>
        </w:rPr>
        <w:t xml:space="preserve"> Id.; D. </w:t>
      </w:r>
      <w:proofErr w:type="spellStart"/>
      <w:r w:rsidRPr="00890A48">
        <w:rPr>
          <w:rFonts w:cstheme="minorHAnsi"/>
          <w:sz w:val="20"/>
          <w:szCs w:val="20"/>
        </w:rPr>
        <w:t>Natzler</w:t>
      </w:r>
      <w:proofErr w:type="spellEnd"/>
      <w:r w:rsidRPr="00890A48">
        <w:rPr>
          <w:rFonts w:cstheme="minorHAnsi"/>
          <w:sz w:val="20"/>
          <w:szCs w:val="20"/>
        </w:rPr>
        <w:t xml:space="preserve"> and M. Hutton, ‘Select Committees: Scrutiny á la Carte?’ in </w:t>
      </w:r>
      <w:r w:rsidRPr="00890A48">
        <w:rPr>
          <w:rFonts w:cstheme="minorHAnsi"/>
          <w:i/>
          <w:sz w:val="20"/>
          <w:szCs w:val="20"/>
        </w:rPr>
        <w:t>The Future of Parliament: Issues for a New Century</w:t>
      </w:r>
      <w:r w:rsidRPr="00890A48">
        <w:rPr>
          <w:rFonts w:cstheme="minorHAnsi"/>
          <w:sz w:val="20"/>
          <w:szCs w:val="20"/>
        </w:rPr>
        <w:t xml:space="preserve">, ed. P. Giddings (2005) 88, at p. 96; </w:t>
      </w:r>
      <w:r w:rsidRPr="00890A48">
        <w:rPr>
          <w:sz w:val="20"/>
          <w:szCs w:val="20"/>
        </w:rPr>
        <w:t xml:space="preserve">Benton and Russell, </w:t>
      </w:r>
      <w:r w:rsidRPr="00890A48">
        <w:rPr>
          <w:rFonts w:cstheme="minorHAnsi"/>
          <w:sz w:val="20"/>
          <w:szCs w:val="20"/>
        </w:rPr>
        <w:t>op. cit. n. 14</w:t>
      </w:r>
      <w:r w:rsidRPr="00890A48">
        <w:rPr>
          <w:sz w:val="20"/>
          <w:szCs w:val="20"/>
        </w:rPr>
        <w:t>.</w:t>
      </w:r>
    </w:p>
  </w:footnote>
  <w:footnote w:id="32">
    <w:p w14:paraId="697FC6E7" w14:textId="0DE2F69E"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w:t>
      </w:r>
      <w:r w:rsidRPr="00890A48">
        <w:rPr>
          <w:sz w:val="20"/>
          <w:szCs w:val="20"/>
          <w:lang w:val="en-GB"/>
        </w:rPr>
        <w:t xml:space="preserve">Crewe, </w:t>
      </w:r>
      <w:r w:rsidRPr="00890A48">
        <w:rPr>
          <w:rFonts w:cstheme="minorHAnsi"/>
          <w:sz w:val="20"/>
          <w:szCs w:val="20"/>
        </w:rPr>
        <w:t>op. cit. n. 15</w:t>
      </w:r>
      <w:r w:rsidRPr="00890A48">
        <w:rPr>
          <w:sz w:val="20"/>
          <w:szCs w:val="20"/>
          <w:lang w:val="en-GB"/>
        </w:rPr>
        <w:t xml:space="preserve">, p. 57. </w:t>
      </w:r>
    </w:p>
  </w:footnote>
  <w:footnote w:id="33">
    <w:p w14:paraId="65FE689A" w14:textId="7063417E"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P. Dorey and M. Purvis, ‘Representation in the Lords’ in </w:t>
      </w:r>
      <w:r w:rsidRPr="00890A48">
        <w:rPr>
          <w:i/>
          <w:sz w:val="20"/>
          <w:szCs w:val="20"/>
        </w:rPr>
        <w:t>Exploring Parliament</w:t>
      </w:r>
      <w:r w:rsidRPr="00890A48">
        <w:rPr>
          <w:sz w:val="20"/>
          <w:szCs w:val="20"/>
        </w:rPr>
        <w:t>, eds.  C. Leston-Bandeira and L. Thompson (2018) 244.</w:t>
      </w:r>
    </w:p>
  </w:footnote>
  <w:footnote w:id="34">
    <w:p w14:paraId="7E1962CD" w14:textId="5D9ADF0A" w:rsidR="00CE164C" w:rsidRPr="00890A48" w:rsidRDefault="00CE164C" w:rsidP="004F0677">
      <w:pPr>
        <w:pStyle w:val="NoSpacing"/>
        <w:jc w:val="both"/>
        <w:rPr>
          <w:sz w:val="20"/>
          <w:szCs w:val="20"/>
        </w:rPr>
      </w:pPr>
      <w:r w:rsidRPr="00890A48">
        <w:rPr>
          <w:rStyle w:val="FootnoteReference"/>
          <w:sz w:val="20"/>
          <w:szCs w:val="20"/>
        </w:rPr>
        <w:footnoteRef/>
      </w:r>
      <w:r w:rsidRPr="00890A48">
        <w:rPr>
          <w:sz w:val="20"/>
          <w:szCs w:val="20"/>
        </w:rPr>
        <w:t xml:space="preserve"> Adapted from R. </w:t>
      </w:r>
      <w:proofErr w:type="spellStart"/>
      <w:r w:rsidRPr="00890A48">
        <w:rPr>
          <w:sz w:val="20"/>
          <w:szCs w:val="20"/>
        </w:rPr>
        <w:t>Fenno</w:t>
      </w:r>
      <w:proofErr w:type="spellEnd"/>
      <w:r w:rsidRPr="00890A48">
        <w:rPr>
          <w:sz w:val="20"/>
          <w:szCs w:val="20"/>
        </w:rPr>
        <w:t xml:space="preserve">, </w:t>
      </w:r>
      <w:r w:rsidRPr="00890A48">
        <w:rPr>
          <w:i/>
          <w:sz w:val="20"/>
          <w:szCs w:val="20"/>
        </w:rPr>
        <w:t>Congressmen in Committees</w:t>
      </w:r>
      <w:r w:rsidRPr="00890A48">
        <w:rPr>
          <w:sz w:val="20"/>
          <w:szCs w:val="20"/>
        </w:rPr>
        <w:t xml:space="preserve"> (1973). See also Geddes, op. cit. n. 6.</w:t>
      </w:r>
    </w:p>
  </w:footnote>
  <w:footnote w:id="35">
    <w:p w14:paraId="2EF053F3" w14:textId="3773BC25"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N. </w:t>
      </w:r>
      <w:proofErr w:type="spellStart"/>
      <w:r w:rsidRPr="00890A48">
        <w:rPr>
          <w:sz w:val="20"/>
          <w:szCs w:val="20"/>
        </w:rPr>
        <w:t>DeBois</w:t>
      </w:r>
      <w:proofErr w:type="spellEnd"/>
      <w:r w:rsidRPr="00890A48">
        <w:rPr>
          <w:sz w:val="20"/>
          <w:szCs w:val="20"/>
        </w:rPr>
        <w:t xml:space="preserve"> </w:t>
      </w:r>
      <w:r w:rsidRPr="00890A48">
        <w:rPr>
          <w:i/>
          <w:sz w:val="20"/>
          <w:szCs w:val="20"/>
        </w:rPr>
        <w:t>Confessions of a Recovering MP</w:t>
      </w:r>
      <w:r w:rsidRPr="00890A48">
        <w:rPr>
          <w:sz w:val="20"/>
          <w:szCs w:val="20"/>
        </w:rPr>
        <w:t xml:space="preserve"> (London: </w:t>
      </w:r>
      <w:proofErr w:type="spellStart"/>
      <w:r w:rsidRPr="00890A48">
        <w:rPr>
          <w:sz w:val="20"/>
          <w:szCs w:val="20"/>
        </w:rPr>
        <w:t>Biteback</w:t>
      </w:r>
      <w:proofErr w:type="spellEnd"/>
      <w:r w:rsidRPr="00890A48">
        <w:rPr>
          <w:sz w:val="20"/>
          <w:szCs w:val="20"/>
        </w:rPr>
        <w:t xml:space="preserve"> Publishing, 2018), at p.30.</w:t>
      </w:r>
    </w:p>
  </w:footnote>
  <w:footnote w:id="36">
    <w:p w14:paraId="004F37DA" w14:textId="6E775B11" w:rsidR="00CE164C" w:rsidRPr="00890A48" w:rsidRDefault="00CE164C" w:rsidP="004F0677">
      <w:pPr>
        <w:pStyle w:val="NoSpacing"/>
        <w:jc w:val="both"/>
        <w:rPr>
          <w:sz w:val="20"/>
          <w:szCs w:val="20"/>
        </w:rPr>
      </w:pPr>
      <w:r w:rsidRPr="00890A48">
        <w:rPr>
          <w:rStyle w:val="FootnoteReference"/>
          <w:sz w:val="20"/>
          <w:szCs w:val="20"/>
        </w:rPr>
        <w:footnoteRef/>
      </w:r>
      <w:r w:rsidRPr="00890A48">
        <w:rPr>
          <w:sz w:val="20"/>
          <w:szCs w:val="20"/>
        </w:rPr>
        <w:t xml:space="preserve"> A. Kelso, op. cit., n. 14, p. 119.</w:t>
      </w:r>
    </w:p>
  </w:footnote>
  <w:footnote w:id="37">
    <w:p w14:paraId="7A1E546C" w14:textId="32F07E86"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20, MP (26 July 2017).</w:t>
      </w:r>
    </w:p>
  </w:footnote>
  <w:footnote w:id="38">
    <w:p w14:paraId="19871F2C" w14:textId="4F32A934"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27, Peer and former MP (13 September 2017).</w:t>
      </w:r>
    </w:p>
  </w:footnote>
  <w:footnote w:id="39">
    <w:p w14:paraId="6FC38E9C" w14:textId="65921784"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20, MP (26 July 2017).</w:t>
      </w:r>
    </w:p>
  </w:footnote>
  <w:footnote w:id="40">
    <w:p w14:paraId="1528ACD7" w14:textId="77777777" w:rsidR="00CE164C" w:rsidRPr="00890A48" w:rsidRDefault="00CE164C" w:rsidP="00CC5520">
      <w:pPr>
        <w:pStyle w:val="NoSpacing"/>
        <w:jc w:val="both"/>
        <w:rPr>
          <w:sz w:val="20"/>
          <w:szCs w:val="20"/>
        </w:rPr>
      </w:pPr>
      <w:r w:rsidRPr="00890A48">
        <w:rPr>
          <w:rStyle w:val="FootnoteReference"/>
          <w:sz w:val="20"/>
          <w:szCs w:val="20"/>
        </w:rPr>
        <w:footnoteRef/>
      </w:r>
      <w:r w:rsidRPr="00890A48">
        <w:rPr>
          <w:sz w:val="20"/>
          <w:szCs w:val="20"/>
        </w:rPr>
        <w:t xml:space="preserve"> D. Judge and C. Leston-Bandeira, ‘The Institutional Representation of Parliament’ (2018) 66(1) </w:t>
      </w:r>
      <w:r w:rsidRPr="00890A48">
        <w:rPr>
          <w:i/>
          <w:sz w:val="20"/>
          <w:szCs w:val="20"/>
        </w:rPr>
        <w:t>Political Studies</w:t>
      </w:r>
      <w:r w:rsidRPr="00890A48">
        <w:rPr>
          <w:sz w:val="20"/>
          <w:szCs w:val="20"/>
        </w:rPr>
        <w:t xml:space="preserve"> 154, 162.</w:t>
      </w:r>
    </w:p>
  </w:footnote>
  <w:footnote w:id="41">
    <w:p w14:paraId="3C42ED49" w14:textId="2B1FF6EF"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54, MP (16 January 2018).</w:t>
      </w:r>
    </w:p>
  </w:footnote>
  <w:footnote w:id="42">
    <w:p w14:paraId="17195E10" w14:textId="5FF1D7F9" w:rsidR="00CE164C" w:rsidRPr="00890A48" w:rsidRDefault="00CE164C" w:rsidP="004F0677">
      <w:pPr>
        <w:pStyle w:val="NoSpacing"/>
        <w:jc w:val="both"/>
        <w:rPr>
          <w:sz w:val="20"/>
          <w:szCs w:val="20"/>
        </w:rPr>
      </w:pPr>
      <w:r w:rsidRPr="00890A48">
        <w:rPr>
          <w:rStyle w:val="FootnoteReference"/>
          <w:sz w:val="20"/>
          <w:szCs w:val="20"/>
        </w:rPr>
        <w:footnoteRef/>
      </w:r>
      <w:r w:rsidRPr="00890A48">
        <w:rPr>
          <w:sz w:val="20"/>
          <w:szCs w:val="20"/>
        </w:rPr>
        <w:t xml:space="preserve"> Crewe, </w:t>
      </w:r>
      <w:r w:rsidRPr="00890A48">
        <w:rPr>
          <w:rFonts w:cstheme="minorHAnsi"/>
          <w:sz w:val="20"/>
          <w:szCs w:val="20"/>
        </w:rPr>
        <w:t>op. cit. n. 15</w:t>
      </w:r>
      <w:r w:rsidRPr="00890A48">
        <w:rPr>
          <w:sz w:val="20"/>
          <w:szCs w:val="20"/>
        </w:rPr>
        <w:t>, p. 56.</w:t>
      </w:r>
    </w:p>
  </w:footnote>
  <w:footnote w:id="43">
    <w:p w14:paraId="433A5C49" w14:textId="583001A8"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w:t>
      </w:r>
      <w:r w:rsidRPr="00890A48">
        <w:rPr>
          <w:sz w:val="20"/>
          <w:szCs w:val="20"/>
          <w:lang w:val="en-GB"/>
        </w:rPr>
        <w:t>Id.</w:t>
      </w:r>
    </w:p>
  </w:footnote>
  <w:footnote w:id="44">
    <w:p w14:paraId="30F33982" w14:textId="54931BAA"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M. Geddes and J. Mulley ‘Supporting Members and Peers’ in </w:t>
      </w:r>
      <w:r w:rsidRPr="00890A48">
        <w:rPr>
          <w:i/>
          <w:sz w:val="20"/>
          <w:szCs w:val="20"/>
        </w:rPr>
        <w:t>Exploring Parliament</w:t>
      </w:r>
      <w:r w:rsidRPr="00890A48">
        <w:rPr>
          <w:sz w:val="20"/>
          <w:szCs w:val="20"/>
        </w:rPr>
        <w:t xml:space="preserve"> , eds. C. Leston-Bandeira and L. Thompson (2018) 33, 40.</w:t>
      </w:r>
    </w:p>
  </w:footnote>
  <w:footnote w:id="45">
    <w:p w14:paraId="7DF1F3A9" w14:textId="77DD2B3F"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21, clerk (27 July 2017).</w:t>
      </w:r>
    </w:p>
  </w:footnote>
  <w:footnote w:id="46">
    <w:p w14:paraId="461D8684" w14:textId="3CD050BE"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w:t>
      </w:r>
      <w:r w:rsidRPr="00890A48">
        <w:rPr>
          <w:sz w:val="20"/>
          <w:szCs w:val="20"/>
          <w:lang w:val="en-GB"/>
        </w:rPr>
        <w:t xml:space="preserve">Crewe, </w:t>
      </w:r>
      <w:r w:rsidRPr="00890A48">
        <w:rPr>
          <w:rFonts w:cstheme="minorHAnsi"/>
          <w:sz w:val="20"/>
          <w:szCs w:val="20"/>
        </w:rPr>
        <w:t xml:space="preserve">op. cit. n. 15, p. </w:t>
      </w:r>
      <w:r w:rsidRPr="00890A48">
        <w:rPr>
          <w:sz w:val="20"/>
          <w:szCs w:val="20"/>
          <w:lang w:val="en-GB"/>
        </w:rPr>
        <w:t>61.</w:t>
      </w:r>
    </w:p>
  </w:footnote>
  <w:footnote w:id="47">
    <w:p w14:paraId="75BE53FC" w14:textId="3FCDC66A"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11, clerk (29 June 2017).</w:t>
      </w:r>
    </w:p>
  </w:footnote>
  <w:footnote w:id="48">
    <w:p w14:paraId="21A8E92E" w14:textId="1E078245" w:rsidR="00CE164C" w:rsidRPr="00890A48" w:rsidRDefault="00CE164C" w:rsidP="004F0677">
      <w:pPr>
        <w:pStyle w:val="NoSpacing"/>
        <w:jc w:val="both"/>
        <w:rPr>
          <w:sz w:val="20"/>
          <w:szCs w:val="20"/>
        </w:rPr>
      </w:pPr>
      <w:r w:rsidRPr="00890A48">
        <w:rPr>
          <w:rStyle w:val="FootnoteReference"/>
          <w:sz w:val="20"/>
          <w:szCs w:val="20"/>
        </w:rPr>
        <w:footnoteRef/>
      </w:r>
      <w:r w:rsidRPr="00890A48">
        <w:rPr>
          <w:sz w:val="20"/>
          <w:szCs w:val="20"/>
        </w:rPr>
        <w:t xml:space="preserve"> D. Feldman, ‘None, one or several? Perspectives on the UK’s Constitutions’ (2005) 64 </w:t>
      </w:r>
      <w:r w:rsidRPr="00890A48">
        <w:rPr>
          <w:i/>
          <w:sz w:val="20"/>
          <w:szCs w:val="20"/>
        </w:rPr>
        <w:t>Cambridge Law J</w:t>
      </w:r>
      <w:r w:rsidRPr="00890A48">
        <w:rPr>
          <w:sz w:val="20"/>
          <w:szCs w:val="20"/>
        </w:rPr>
        <w:t xml:space="preserve"> 329, 344.</w:t>
      </w:r>
    </w:p>
  </w:footnote>
  <w:footnote w:id="49">
    <w:p w14:paraId="68063C49" w14:textId="73510B1C"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21, clerk (27 July 2017).</w:t>
      </w:r>
    </w:p>
  </w:footnote>
  <w:footnote w:id="50">
    <w:p w14:paraId="5243ADA9" w14:textId="4178794E" w:rsidR="00CE164C" w:rsidRPr="00890A48" w:rsidRDefault="00CE164C" w:rsidP="004F0677">
      <w:pPr>
        <w:pStyle w:val="NoSpacing"/>
        <w:jc w:val="both"/>
        <w:rPr>
          <w:sz w:val="20"/>
          <w:szCs w:val="20"/>
        </w:rPr>
      </w:pPr>
      <w:r w:rsidRPr="00890A48">
        <w:rPr>
          <w:rStyle w:val="FootnoteReference"/>
          <w:sz w:val="20"/>
          <w:szCs w:val="20"/>
        </w:rPr>
        <w:footnoteRef/>
      </w:r>
      <w:r w:rsidRPr="00890A48">
        <w:rPr>
          <w:sz w:val="20"/>
          <w:szCs w:val="20"/>
        </w:rPr>
        <w:t xml:space="preserve"> See generally Kennon, op. cit., n. 23. </w:t>
      </w:r>
    </w:p>
  </w:footnote>
  <w:footnote w:id="51">
    <w:p w14:paraId="62A7D1C4" w14:textId="6D9136B3" w:rsidR="00CE164C" w:rsidRPr="00890A48" w:rsidRDefault="00CE164C" w:rsidP="00641DA7">
      <w:pPr>
        <w:pStyle w:val="FootnoteText"/>
        <w:jc w:val="both"/>
        <w:rPr>
          <w:sz w:val="20"/>
          <w:szCs w:val="20"/>
        </w:rPr>
      </w:pPr>
      <w:r w:rsidRPr="00890A48">
        <w:rPr>
          <w:rStyle w:val="FootnoteReference"/>
          <w:sz w:val="20"/>
          <w:szCs w:val="20"/>
        </w:rPr>
        <w:footnoteRef/>
      </w:r>
      <w:r w:rsidRPr="00890A48">
        <w:rPr>
          <w:sz w:val="20"/>
          <w:szCs w:val="20"/>
        </w:rPr>
        <w:t xml:space="preserve"> The House of Lords Constitution Committee’s two part-time legal advisers sit on the ‘penumbra’. They are appointed on a sessional basis, but remain with the Committee for much longer than a single inquiry, so we class them as parliamentary lawyers.</w:t>
      </w:r>
    </w:p>
  </w:footnote>
  <w:footnote w:id="52">
    <w:p w14:paraId="096A10E1" w14:textId="77777777" w:rsidR="00CE164C" w:rsidRPr="00890A48" w:rsidRDefault="00CE164C" w:rsidP="004F0677">
      <w:pPr>
        <w:pStyle w:val="NoSpacing"/>
        <w:jc w:val="both"/>
        <w:rPr>
          <w:sz w:val="20"/>
          <w:szCs w:val="20"/>
        </w:rPr>
      </w:pPr>
      <w:r w:rsidRPr="00890A48">
        <w:rPr>
          <w:rStyle w:val="FootnoteReference"/>
          <w:sz w:val="20"/>
          <w:szCs w:val="20"/>
        </w:rPr>
        <w:footnoteRef/>
      </w:r>
      <w:r w:rsidRPr="00890A48">
        <w:rPr>
          <w:sz w:val="20"/>
          <w:szCs w:val="20"/>
        </w:rPr>
        <w:t xml:space="preserve"> These numbers are calculated from internal documents. It should also be noted that some only work part-time. We have also here not included paralegal staff (two), and the 1-2 lawyers working for the Joint Procurement Service. </w:t>
      </w:r>
    </w:p>
  </w:footnote>
  <w:footnote w:id="53">
    <w:p w14:paraId="45162B1B" w14:textId="6A0709DC"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B. Yong, ‘The Governance of Parliament’ in </w:t>
      </w:r>
      <w:r w:rsidRPr="00890A48">
        <w:rPr>
          <w:i/>
          <w:sz w:val="20"/>
          <w:szCs w:val="20"/>
        </w:rPr>
        <w:t>Parliament and the Law</w:t>
      </w:r>
      <w:r w:rsidRPr="00890A48">
        <w:rPr>
          <w:sz w:val="20"/>
          <w:szCs w:val="20"/>
        </w:rPr>
        <w:t xml:space="preserve">, eds. A. Horne and G. </w:t>
      </w:r>
      <w:proofErr w:type="spellStart"/>
      <w:r w:rsidRPr="00890A48">
        <w:rPr>
          <w:sz w:val="20"/>
          <w:szCs w:val="20"/>
        </w:rPr>
        <w:t>Drewry</w:t>
      </w:r>
      <w:proofErr w:type="spellEnd"/>
      <w:r w:rsidRPr="00890A48">
        <w:rPr>
          <w:sz w:val="20"/>
          <w:szCs w:val="20"/>
        </w:rPr>
        <w:t xml:space="preserve"> (</w:t>
      </w:r>
      <w:proofErr w:type="spellStart"/>
      <w:r w:rsidRPr="00890A48">
        <w:rPr>
          <w:sz w:val="20"/>
          <w:szCs w:val="20"/>
        </w:rPr>
        <w:t>eds</w:t>
      </w:r>
      <w:proofErr w:type="spellEnd"/>
      <w:r w:rsidRPr="00890A48">
        <w:rPr>
          <w:sz w:val="20"/>
          <w:szCs w:val="20"/>
        </w:rPr>
        <w:t>) (2018, 2</w:t>
      </w:r>
      <w:r w:rsidRPr="00890A48">
        <w:rPr>
          <w:sz w:val="20"/>
          <w:szCs w:val="20"/>
          <w:vertAlign w:val="superscript"/>
        </w:rPr>
        <w:t>nd</w:t>
      </w:r>
      <w:r w:rsidRPr="00890A48">
        <w:rPr>
          <w:sz w:val="20"/>
          <w:szCs w:val="20"/>
        </w:rPr>
        <w:t xml:space="preserve"> </w:t>
      </w:r>
      <w:proofErr w:type="spellStart"/>
      <w:r w:rsidRPr="00890A48">
        <w:rPr>
          <w:sz w:val="20"/>
          <w:szCs w:val="20"/>
        </w:rPr>
        <w:t>edn</w:t>
      </w:r>
      <w:proofErr w:type="spellEnd"/>
      <w:r w:rsidRPr="00890A48">
        <w:rPr>
          <w:sz w:val="20"/>
          <w:szCs w:val="20"/>
        </w:rPr>
        <w:t>) 75.</w:t>
      </w:r>
    </w:p>
  </w:footnote>
  <w:footnote w:id="54">
    <w:p w14:paraId="7E807A74" w14:textId="480F07ED"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5, parliamentary lawyer (25 May 2017).</w:t>
      </w:r>
    </w:p>
  </w:footnote>
  <w:footnote w:id="55">
    <w:p w14:paraId="21E6B791" w14:textId="388805F5" w:rsidR="00CE164C" w:rsidRPr="00890A48" w:rsidRDefault="00CE164C" w:rsidP="004F0677">
      <w:pPr>
        <w:pStyle w:val="FootnoteText"/>
        <w:jc w:val="both"/>
        <w:rPr>
          <w:sz w:val="20"/>
          <w:szCs w:val="20"/>
          <w:lang w:val="en-GB"/>
        </w:rPr>
      </w:pPr>
      <w:r w:rsidRPr="00890A48">
        <w:rPr>
          <w:rStyle w:val="FootnoteReference"/>
          <w:sz w:val="20"/>
          <w:szCs w:val="20"/>
        </w:rPr>
        <w:footnoteRef/>
      </w:r>
      <w:r w:rsidRPr="00890A48">
        <w:rPr>
          <w:sz w:val="20"/>
          <w:szCs w:val="20"/>
        </w:rPr>
        <w:t xml:space="preserve"> Interviewee 2, parliamentary lawyer (23 March 2017).</w:t>
      </w:r>
      <w:r w:rsidRPr="00890A48">
        <w:rPr>
          <w:rFonts w:cstheme="minorHAnsi"/>
          <w:sz w:val="20"/>
          <w:szCs w:val="20"/>
        </w:rPr>
        <w:t xml:space="preserve"> See also</w:t>
      </w:r>
      <w:r w:rsidRPr="00890A48">
        <w:rPr>
          <w:sz w:val="20"/>
          <w:szCs w:val="20"/>
        </w:rPr>
        <w:t xml:space="preserve"> Kennon, op. cit., n. 23</w:t>
      </w:r>
      <w:r w:rsidRPr="00890A48">
        <w:rPr>
          <w:rFonts w:cstheme="minorHAnsi"/>
          <w:sz w:val="20"/>
          <w:szCs w:val="20"/>
        </w:rPr>
        <w:t>, p. 133.</w:t>
      </w:r>
    </w:p>
  </w:footnote>
  <w:footnote w:id="56">
    <w:p w14:paraId="2B1D003B" w14:textId="4B62DBD1" w:rsidR="00CE164C" w:rsidRPr="00890A48" w:rsidRDefault="00CE164C" w:rsidP="004F0677">
      <w:pPr>
        <w:pStyle w:val="FootnoteText"/>
        <w:jc w:val="both"/>
        <w:rPr>
          <w:rFonts w:cstheme="minorHAnsi"/>
          <w:color w:val="000000" w:themeColor="text1"/>
          <w:sz w:val="20"/>
          <w:szCs w:val="20"/>
        </w:rPr>
      </w:pPr>
      <w:r w:rsidRPr="00890A48">
        <w:rPr>
          <w:rStyle w:val="FootnoteReference"/>
          <w:rFonts w:cstheme="minorHAnsi"/>
          <w:color w:val="000000" w:themeColor="text1"/>
          <w:sz w:val="20"/>
          <w:szCs w:val="20"/>
        </w:rPr>
        <w:footnoteRef/>
      </w:r>
      <w:r w:rsidRPr="00890A48">
        <w:rPr>
          <w:rFonts w:cstheme="minorHAnsi"/>
          <w:color w:val="000000" w:themeColor="text1"/>
          <w:sz w:val="20"/>
          <w:szCs w:val="20"/>
        </w:rPr>
        <w:t xml:space="preserve"> J. Mulley and H. Kinghorn, ‘Pre-legislative Scrutiny in Parliament’ in </w:t>
      </w:r>
      <w:r w:rsidRPr="00890A48">
        <w:rPr>
          <w:rFonts w:cstheme="minorHAnsi"/>
          <w:i/>
          <w:color w:val="000000" w:themeColor="text1"/>
          <w:sz w:val="20"/>
          <w:szCs w:val="20"/>
        </w:rPr>
        <w:t>Parliament: Legislation and Accountability</w:t>
      </w:r>
      <w:r w:rsidRPr="00890A48">
        <w:rPr>
          <w:rFonts w:cstheme="minorHAnsi"/>
          <w:color w:val="000000" w:themeColor="text1"/>
          <w:sz w:val="20"/>
          <w:szCs w:val="20"/>
        </w:rPr>
        <w:t>, eds. A. Horne and A. Le Sueur (2016) 39, at 48.</w:t>
      </w:r>
    </w:p>
  </w:footnote>
  <w:footnote w:id="57">
    <w:p w14:paraId="129EA703" w14:textId="3335FF92"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2, parliamentary lawyer (23 March 2017). See also D. </w:t>
      </w:r>
      <w:proofErr w:type="spellStart"/>
      <w:r w:rsidRPr="00890A48">
        <w:rPr>
          <w:sz w:val="20"/>
          <w:szCs w:val="20"/>
        </w:rPr>
        <w:t>Howarth</w:t>
      </w:r>
      <w:proofErr w:type="spellEnd"/>
      <w:r w:rsidRPr="00890A48">
        <w:rPr>
          <w:sz w:val="20"/>
          <w:szCs w:val="20"/>
        </w:rPr>
        <w:t xml:space="preserve"> </w:t>
      </w:r>
      <w:r w:rsidRPr="00890A48">
        <w:rPr>
          <w:i/>
          <w:sz w:val="20"/>
          <w:szCs w:val="20"/>
        </w:rPr>
        <w:t xml:space="preserve">Law as Engineering: Thinking about What Lawyers Do </w:t>
      </w:r>
      <w:r w:rsidRPr="00890A48">
        <w:rPr>
          <w:sz w:val="20"/>
          <w:szCs w:val="20"/>
        </w:rPr>
        <w:t>(2013), 30.</w:t>
      </w:r>
    </w:p>
  </w:footnote>
  <w:footnote w:id="58">
    <w:p w14:paraId="6B79CDD1" w14:textId="0F95E382"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11, clerk (29 June 2017).</w:t>
      </w:r>
    </w:p>
  </w:footnote>
  <w:footnote w:id="59">
    <w:p w14:paraId="3AD9BFD1" w14:textId="45B5C2AA" w:rsidR="00CE164C" w:rsidRPr="00890A48" w:rsidRDefault="00CE164C" w:rsidP="004F0677">
      <w:pPr>
        <w:pStyle w:val="FootnoteText"/>
        <w:jc w:val="both"/>
        <w:rPr>
          <w:sz w:val="20"/>
          <w:szCs w:val="20"/>
          <w:lang w:val="en-GB"/>
        </w:rPr>
      </w:pPr>
      <w:r w:rsidRPr="00890A48">
        <w:rPr>
          <w:rStyle w:val="FootnoteReference"/>
          <w:sz w:val="20"/>
          <w:szCs w:val="20"/>
        </w:rPr>
        <w:footnoteRef/>
      </w:r>
      <w:r w:rsidRPr="00890A48">
        <w:rPr>
          <w:sz w:val="20"/>
          <w:szCs w:val="20"/>
        </w:rPr>
        <w:t xml:space="preserve"> Interviewee 2, parliamentary lawyer (23 March 2017).</w:t>
      </w:r>
    </w:p>
  </w:footnote>
  <w:footnote w:id="60">
    <w:p w14:paraId="4EA07630" w14:textId="68F9DEC1"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12, parliamentary lawyer (29 June 2017).</w:t>
      </w:r>
    </w:p>
  </w:footnote>
  <w:footnote w:id="61">
    <w:p w14:paraId="7CE2F14A" w14:textId="5FC152C8" w:rsidR="00CE164C" w:rsidRPr="00890A48" w:rsidRDefault="00CE164C" w:rsidP="004F0677">
      <w:pPr>
        <w:pStyle w:val="FootnoteText"/>
        <w:jc w:val="both"/>
        <w:rPr>
          <w:sz w:val="20"/>
          <w:szCs w:val="20"/>
          <w:lang w:val="en-GB"/>
        </w:rPr>
      </w:pPr>
      <w:r w:rsidRPr="00890A48">
        <w:rPr>
          <w:rStyle w:val="FootnoteReference"/>
          <w:sz w:val="20"/>
          <w:szCs w:val="20"/>
        </w:rPr>
        <w:footnoteRef/>
      </w:r>
      <w:r w:rsidRPr="00890A48">
        <w:rPr>
          <w:sz w:val="20"/>
          <w:szCs w:val="20"/>
        </w:rPr>
        <w:t xml:space="preserve"> A Boon, </w:t>
      </w:r>
      <w:r w:rsidRPr="00890A48">
        <w:rPr>
          <w:i/>
          <w:sz w:val="20"/>
          <w:szCs w:val="20"/>
        </w:rPr>
        <w:t>Lawyers’ Ethics and Professional Responsibility</w:t>
      </w:r>
      <w:r w:rsidRPr="00890A48">
        <w:rPr>
          <w:sz w:val="20"/>
          <w:szCs w:val="20"/>
        </w:rPr>
        <w:t xml:space="preserve"> (2015), pp. 112-113.</w:t>
      </w:r>
    </w:p>
  </w:footnote>
  <w:footnote w:id="62">
    <w:p w14:paraId="294FACA1" w14:textId="0CABE624" w:rsidR="00CE164C" w:rsidRPr="00890A48" w:rsidRDefault="00CE164C" w:rsidP="004F0677">
      <w:pPr>
        <w:pStyle w:val="NoSpacing"/>
        <w:jc w:val="both"/>
        <w:rPr>
          <w:sz w:val="20"/>
          <w:szCs w:val="20"/>
        </w:rPr>
      </w:pPr>
      <w:r w:rsidRPr="00890A48">
        <w:rPr>
          <w:rStyle w:val="FootnoteReference"/>
          <w:sz w:val="20"/>
          <w:szCs w:val="20"/>
        </w:rPr>
        <w:footnoteRef/>
      </w:r>
      <w:r w:rsidRPr="00890A48">
        <w:rPr>
          <w:sz w:val="20"/>
          <w:szCs w:val="20"/>
        </w:rPr>
        <w:t xml:space="preserve"> S. Pepper, `The Lawyer's Amoral Ethical Role: A </w:t>
      </w:r>
      <w:proofErr w:type="spellStart"/>
      <w:r w:rsidRPr="00890A48">
        <w:rPr>
          <w:sz w:val="20"/>
          <w:szCs w:val="20"/>
        </w:rPr>
        <w:t>Defense</w:t>
      </w:r>
      <w:proofErr w:type="spellEnd"/>
      <w:r w:rsidRPr="00890A48">
        <w:rPr>
          <w:sz w:val="20"/>
          <w:szCs w:val="20"/>
        </w:rPr>
        <w:t xml:space="preserve">, a Problem, and Some Possibilities' (1986) </w:t>
      </w:r>
      <w:r w:rsidRPr="00890A48">
        <w:rPr>
          <w:i/>
          <w:sz w:val="20"/>
          <w:szCs w:val="20"/>
        </w:rPr>
        <w:t>American Bar Foundation Research J</w:t>
      </w:r>
      <w:r w:rsidRPr="00890A48">
        <w:rPr>
          <w:sz w:val="20"/>
          <w:szCs w:val="20"/>
        </w:rPr>
        <w:t xml:space="preserve"> 24</w:t>
      </w:r>
    </w:p>
  </w:footnote>
  <w:footnote w:id="63">
    <w:p w14:paraId="0748A78F" w14:textId="5ED49953" w:rsidR="00CE164C" w:rsidRPr="00890A48" w:rsidRDefault="00CE164C" w:rsidP="004F0677">
      <w:pPr>
        <w:pStyle w:val="NoSpacing"/>
        <w:jc w:val="both"/>
        <w:rPr>
          <w:sz w:val="20"/>
          <w:szCs w:val="20"/>
        </w:rPr>
      </w:pPr>
      <w:r w:rsidRPr="00890A48">
        <w:rPr>
          <w:rStyle w:val="FootnoteReference"/>
          <w:sz w:val="20"/>
          <w:szCs w:val="20"/>
        </w:rPr>
        <w:footnoteRef/>
      </w:r>
      <w:r w:rsidRPr="00890A48">
        <w:rPr>
          <w:sz w:val="20"/>
          <w:szCs w:val="20"/>
        </w:rPr>
        <w:t xml:space="preserve"> House of Commons Privileges Committee, op. cit. n. 5, para 62. </w:t>
      </w:r>
    </w:p>
  </w:footnote>
  <w:footnote w:id="64">
    <w:p w14:paraId="0950C10A" w14:textId="70074EAF" w:rsidR="00CE164C" w:rsidRPr="00890A48" w:rsidRDefault="00CE164C" w:rsidP="004F0677">
      <w:pPr>
        <w:pStyle w:val="NoSpacing"/>
        <w:jc w:val="both"/>
        <w:rPr>
          <w:sz w:val="20"/>
          <w:szCs w:val="20"/>
        </w:rPr>
      </w:pPr>
      <w:r w:rsidRPr="00890A48">
        <w:rPr>
          <w:rStyle w:val="FootnoteReference"/>
          <w:sz w:val="20"/>
          <w:szCs w:val="20"/>
        </w:rPr>
        <w:footnoteRef/>
      </w:r>
      <w:r w:rsidRPr="00890A48">
        <w:rPr>
          <w:sz w:val="20"/>
          <w:szCs w:val="20"/>
        </w:rPr>
        <w:t xml:space="preserve"> House of Commons Standards and Privileges Committee, </w:t>
      </w:r>
      <w:r w:rsidRPr="00890A48">
        <w:rPr>
          <w:i/>
          <w:sz w:val="20"/>
          <w:szCs w:val="20"/>
        </w:rPr>
        <w:t>Premature disclosure of select committee papers</w:t>
      </w:r>
      <w:r w:rsidRPr="00890A48">
        <w:rPr>
          <w:sz w:val="20"/>
          <w:szCs w:val="20"/>
        </w:rPr>
        <w:t xml:space="preserve"> (2007-8, HC 1212).</w:t>
      </w:r>
    </w:p>
  </w:footnote>
  <w:footnote w:id="65">
    <w:p w14:paraId="7A0A56EC" w14:textId="7412DB51" w:rsidR="00CE164C" w:rsidRPr="00890A48" w:rsidRDefault="00CE164C" w:rsidP="004F0677">
      <w:pPr>
        <w:pStyle w:val="FootnoteText"/>
        <w:jc w:val="both"/>
        <w:rPr>
          <w:sz w:val="20"/>
          <w:szCs w:val="20"/>
          <w:lang w:val="en-GB"/>
        </w:rPr>
      </w:pPr>
      <w:r w:rsidRPr="00890A48">
        <w:rPr>
          <w:rStyle w:val="FootnoteReference"/>
          <w:sz w:val="20"/>
          <w:szCs w:val="20"/>
        </w:rPr>
        <w:footnoteRef/>
      </w:r>
      <w:r w:rsidRPr="00890A48">
        <w:rPr>
          <w:sz w:val="20"/>
          <w:szCs w:val="20"/>
        </w:rPr>
        <w:t xml:space="preserve"> </w:t>
      </w:r>
      <w:r w:rsidRPr="00890A48">
        <w:rPr>
          <w:sz w:val="20"/>
          <w:szCs w:val="20"/>
          <w:lang w:val="en-GB"/>
        </w:rPr>
        <w:t xml:space="preserve">To our knowledge, this is also true of the devolved assemblies. </w:t>
      </w:r>
    </w:p>
  </w:footnote>
  <w:footnote w:id="66">
    <w:p w14:paraId="79B5A812" w14:textId="1EA9963A" w:rsidR="00CE164C" w:rsidRPr="00890A48" w:rsidRDefault="00CE164C" w:rsidP="004F0677">
      <w:pPr>
        <w:pStyle w:val="NoSpacing"/>
        <w:jc w:val="both"/>
        <w:rPr>
          <w:sz w:val="20"/>
          <w:szCs w:val="20"/>
        </w:rPr>
      </w:pPr>
      <w:r w:rsidRPr="00890A48">
        <w:rPr>
          <w:rStyle w:val="FootnoteReference"/>
          <w:sz w:val="20"/>
          <w:szCs w:val="20"/>
        </w:rPr>
        <w:footnoteRef/>
      </w:r>
      <w:r w:rsidRPr="00890A48">
        <w:rPr>
          <w:sz w:val="20"/>
          <w:szCs w:val="20"/>
        </w:rPr>
        <w:t xml:space="preserve"> Brazier and Fox, </w:t>
      </w:r>
      <w:r w:rsidRPr="00890A48">
        <w:rPr>
          <w:rFonts w:cstheme="minorHAnsi"/>
          <w:sz w:val="20"/>
          <w:szCs w:val="20"/>
        </w:rPr>
        <w:t>op. cit. n. 3</w:t>
      </w:r>
      <w:r w:rsidRPr="00890A48">
        <w:rPr>
          <w:sz w:val="20"/>
          <w:szCs w:val="20"/>
        </w:rPr>
        <w:t>.</w:t>
      </w:r>
    </w:p>
  </w:footnote>
  <w:footnote w:id="67">
    <w:p w14:paraId="48FDC2FC" w14:textId="54E37AA3"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9, parliamentary lawyer (27 June 2017).</w:t>
      </w:r>
    </w:p>
  </w:footnote>
  <w:footnote w:id="68">
    <w:p w14:paraId="4A2E0E8B" w14:textId="00C1873F"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11, clerk (29 June 2017). </w:t>
      </w:r>
    </w:p>
  </w:footnote>
  <w:footnote w:id="69">
    <w:p w14:paraId="63F0D1E5" w14:textId="200C8606"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22, parliamentary lawyer (27 July 2017)</w:t>
      </w:r>
    </w:p>
  </w:footnote>
  <w:footnote w:id="70">
    <w:p w14:paraId="28B13182" w14:textId="0F094640" w:rsidR="00CE164C" w:rsidRPr="00890A48" w:rsidRDefault="00CE164C" w:rsidP="004F0677">
      <w:pPr>
        <w:pStyle w:val="FootnoteText"/>
        <w:jc w:val="both"/>
        <w:rPr>
          <w:rFonts w:cstheme="minorHAnsi"/>
          <w:sz w:val="20"/>
          <w:szCs w:val="20"/>
        </w:rPr>
      </w:pPr>
      <w:r w:rsidRPr="00890A48">
        <w:rPr>
          <w:rStyle w:val="FootnoteReference"/>
          <w:rFonts w:cstheme="minorHAnsi"/>
          <w:sz w:val="20"/>
          <w:szCs w:val="20"/>
        </w:rPr>
        <w:footnoteRef/>
      </w:r>
      <w:r w:rsidRPr="00890A48">
        <w:rPr>
          <w:rFonts w:cstheme="minorHAnsi"/>
          <w:sz w:val="20"/>
          <w:szCs w:val="20"/>
        </w:rPr>
        <w:t xml:space="preserve"> Feldman, op. cit. n. 18, p. 343.</w:t>
      </w:r>
    </w:p>
  </w:footnote>
  <w:footnote w:id="71">
    <w:p w14:paraId="30C5109C" w14:textId="7A6A0C86" w:rsidR="00CE164C" w:rsidRPr="00890A48" w:rsidRDefault="00CE164C" w:rsidP="004F0677">
      <w:pPr>
        <w:pStyle w:val="FootnoteText"/>
        <w:jc w:val="both"/>
        <w:rPr>
          <w:rFonts w:cstheme="minorHAnsi"/>
          <w:sz w:val="20"/>
          <w:szCs w:val="20"/>
        </w:rPr>
      </w:pPr>
      <w:r w:rsidRPr="00890A48">
        <w:rPr>
          <w:rStyle w:val="FootnoteReference"/>
          <w:rFonts w:cstheme="minorHAnsi"/>
          <w:sz w:val="20"/>
          <w:szCs w:val="20"/>
        </w:rPr>
        <w:footnoteRef/>
      </w:r>
      <w:r w:rsidRPr="00890A48">
        <w:rPr>
          <w:rFonts w:cstheme="minorHAnsi"/>
          <w:sz w:val="20"/>
          <w:szCs w:val="20"/>
        </w:rPr>
        <w:t xml:space="preserve"> </w:t>
      </w:r>
      <w:proofErr w:type="spellStart"/>
      <w:r w:rsidRPr="00890A48">
        <w:rPr>
          <w:rFonts w:cstheme="minorHAnsi"/>
          <w:sz w:val="20"/>
          <w:szCs w:val="20"/>
        </w:rPr>
        <w:t>Natzler</w:t>
      </w:r>
      <w:proofErr w:type="spellEnd"/>
      <w:r w:rsidRPr="00890A48">
        <w:rPr>
          <w:rFonts w:cstheme="minorHAnsi"/>
          <w:sz w:val="20"/>
          <w:szCs w:val="20"/>
        </w:rPr>
        <w:t xml:space="preserve"> and Hutton, op. cit. n. 31, p. 92.</w:t>
      </w:r>
    </w:p>
  </w:footnote>
  <w:footnote w:id="72">
    <w:p w14:paraId="131AF5FC" w14:textId="6B5888C3"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11, clerk (29 June 2017).</w:t>
      </w:r>
    </w:p>
  </w:footnote>
  <w:footnote w:id="73">
    <w:p w14:paraId="0C5B78B3" w14:textId="7F65F158"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20, MP (26 July 2017).</w:t>
      </w:r>
    </w:p>
  </w:footnote>
  <w:footnote w:id="74">
    <w:p w14:paraId="2C322EB0" w14:textId="04E8B95B"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8, peer (22 June 2017).</w:t>
      </w:r>
    </w:p>
  </w:footnote>
  <w:footnote w:id="75">
    <w:p w14:paraId="1C35F09A" w14:textId="55E7DCC4"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6, clerk (26 May 2017).</w:t>
      </w:r>
    </w:p>
  </w:footnote>
  <w:footnote w:id="76">
    <w:p w14:paraId="5C5C158A" w14:textId="060A5DDD"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11, clerk (29 June 2017).</w:t>
      </w:r>
    </w:p>
  </w:footnote>
  <w:footnote w:id="77">
    <w:p w14:paraId="53B347EB" w14:textId="77777777"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w:t>
      </w:r>
      <w:r w:rsidRPr="00890A48">
        <w:rPr>
          <w:i/>
          <w:sz w:val="20"/>
          <w:szCs w:val="20"/>
        </w:rPr>
        <w:t>Three Rivers District Council &amp; Others v Governor and Company of the Bank of England (No 6)</w:t>
      </w:r>
      <w:r w:rsidRPr="00890A48">
        <w:rPr>
          <w:sz w:val="20"/>
          <w:szCs w:val="20"/>
        </w:rPr>
        <w:t xml:space="preserve"> [2005] 1 AC 610 (HL) [37] (Baroness Hale). </w:t>
      </w:r>
    </w:p>
  </w:footnote>
  <w:footnote w:id="78">
    <w:p w14:paraId="2867796A" w14:textId="15935345"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10, parliamentary lawyer (27 June 2017).</w:t>
      </w:r>
    </w:p>
  </w:footnote>
  <w:footnote w:id="79">
    <w:p w14:paraId="1FDAD4B8" w14:textId="4FEE4B8B"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5, parliamentary lawyer (25 May 2017).</w:t>
      </w:r>
    </w:p>
  </w:footnote>
  <w:footnote w:id="80">
    <w:p w14:paraId="3407F435" w14:textId="3CFC6C65"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Boon, op. cit. n. 61, p. 113.</w:t>
      </w:r>
    </w:p>
  </w:footnote>
  <w:footnote w:id="81">
    <w:p w14:paraId="30306461" w14:textId="03D4E64C"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18, peer (13 July 2017).</w:t>
      </w:r>
    </w:p>
  </w:footnote>
  <w:footnote w:id="82">
    <w:p w14:paraId="4B87AFE2" w14:textId="7A4B5EAD"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Id.</w:t>
      </w:r>
    </w:p>
  </w:footnote>
  <w:footnote w:id="83">
    <w:p w14:paraId="2F73585B" w14:textId="1CFB3F50"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11, clerk (29 June 2017).</w:t>
      </w:r>
    </w:p>
  </w:footnote>
  <w:footnote w:id="84">
    <w:p w14:paraId="77115A12" w14:textId="329D9B39"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5, parliamentary lawyer (25 May 2017).</w:t>
      </w:r>
    </w:p>
  </w:footnote>
  <w:footnote w:id="85">
    <w:p w14:paraId="6FB95B86" w14:textId="63589739"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8, peer (22 June 2017).</w:t>
      </w:r>
    </w:p>
  </w:footnote>
  <w:footnote w:id="86">
    <w:p w14:paraId="34F90E9A" w14:textId="5F932930"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6, clerk (26 May 2017).</w:t>
      </w:r>
    </w:p>
  </w:footnote>
  <w:footnote w:id="87">
    <w:p w14:paraId="3672FA3E" w14:textId="34108B9A"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54, clerk (16 January 2018).</w:t>
      </w:r>
    </w:p>
  </w:footnote>
  <w:footnote w:id="88">
    <w:p w14:paraId="73F6EF51" w14:textId="287E32FB"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18, peer (13 July 2017).</w:t>
      </w:r>
    </w:p>
  </w:footnote>
  <w:footnote w:id="89">
    <w:p w14:paraId="6347EB9D" w14:textId="0C769689"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20, MP (26 July 2017).</w:t>
      </w:r>
    </w:p>
  </w:footnote>
  <w:footnote w:id="90">
    <w:p w14:paraId="3F1A405B" w14:textId="5E02B0BB"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Caroline Kenny, D.C. Rose, A. Hobbs, C. Tyler, &amp; J. Blackstock </w:t>
      </w:r>
      <w:r w:rsidRPr="00890A48">
        <w:rPr>
          <w:i/>
          <w:sz w:val="20"/>
          <w:szCs w:val="20"/>
        </w:rPr>
        <w:t xml:space="preserve">The Role of Research in the UK Parliament </w:t>
      </w:r>
      <w:r w:rsidRPr="00890A48">
        <w:rPr>
          <w:sz w:val="20"/>
          <w:szCs w:val="20"/>
        </w:rPr>
        <w:t>(Parliamentary Office of Science and Technology, House of Parliament 2017), 10; Geddes, op. cit. n. 6, p. 287.</w:t>
      </w:r>
    </w:p>
  </w:footnote>
  <w:footnote w:id="91">
    <w:p w14:paraId="6D23C6F0" w14:textId="020E88D0"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12, parliamentary lawyer (29 June 2017).</w:t>
      </w:r>
    </w:p>
  </w:footnote>
  <w:footnote w:id="92">
    <w:p w14:paraId="1093C3E6" w14:textId="02A34B2A"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19, parliamentary lawyer (26 July 2017).</w:t>
      </w:r>
    </w:p>
  </w:footnote>
  <w:footnote w:id="93">
    <w:p w14:paraId="0FCF18D0" w14:textId="0F99A4A2"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Id.</w:t>
      </w:r>
    </w:p>
  </w:footnote>
  <w:footnote w:id="94">
    <w:p w14:paraId="16F79744" w14:textId="77777777"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HL Deb </w:t>
      </w:r>
      <w:proofErr w:type="spellStart"/>
      <w:r w:rsidRPr="00890A48">
        <w:rPr>
          <w:sz w:val="20"/>
          <w:szCs w:val="20"/>
        </w:rPr>
        <w:t>vol</w:t>
      </w:r>
      <w:proofErr w:type="spellEnd"/>
      <w:r w:rsidRPr="00890A48">
        <w:rPr>
          <w:sz w:val="20"/>
          <w:szCs w:val="20"/>
        </w:rPr>
        <w:t xml:space="preserve"> 782 col 1133-34 (6 April 2017)</w:t>
      </w:r>
    </w:p>
  </w:footnote>
  <w:footnote w:id="95">
    <w:p w14:paraId="3372CBEB" w14:textId="3DF2D432"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Id.</w:t>
      </w:r>
    </w:p>
  </w:footnote>
  <w:footnote w:id="96">
    <w:p w14:paraId="5605C365" w14:textId="3737C1E6"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House of Lords EU Committee, op. cit., n. 1, p. 30.</w:t>
      </w:r>
    </w:p>
  </w:footnote>
  <w:footnote w:id="97">
    <w:p w14:paraId="3625EF68" w14:textId="2BDB34E5"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Op. cit., n. 94.</w:t>
      </w:r>
    </w:p>
  </w:footnote>
  <w:footnote w:id="98">
    <w:p w14:paraId="7B38A550" w14:textId="7CC75444" w:rsidR="00CE164C" w:rsidRPr="00890A48" w:rsidRDefault="00CE164C" w:rsidP="00315017">
      <w:pPr>
        <w:pStyle w:val="NoSpacing"/>
        <w:jc w:val="both"/>
        <w:rPr>
          <w:rFonts w:ascii="Calibri" w:eastAsia="Times New Roman" w:hAnsi="Calibri" w:cs="Times New Roman"/>
          <w:color w:val="000000"/>
          <w:sz w:val="20"/>
          <w:szCs w:val="20"/>
        </w:rPr>
      </w:pPr>
      <w:r w:rsidRPr="00890A48">
        <w:rPr>
          <w:rStyle w:val="FootnoteReference"/>
          <w:sz w:val="20"/>
          <w:szCs w:val="20"/>
        </w:rPr>
        <w:footnoteRef/>
      </w:r>
      <w:r w:rsidRPr="00890A48">
        <w:rPr>
          <w:sz w:val="20"/>
          <w:szCs w:val="20"/>
        </w:rPr>
        <w:t xml:space="preserve"> </w:t>
      </w:r>
      <w:r w:rsidRPr="00890A48">
        <w:rPr>
          <w:rFonts w:ascii="Calibri" w:eastAsia="Times New Roman" w:hAnsi="Calibri" w:cs="Times New Roman"/>
          <w:color w:val="000000"/>
          <w:sz w:val="20"/>
          <w:szCs w:val="20"/>
        </w:rPr>
        <w:t>House of Commons Public Administration and Constitutional Affairs Committee, op. cit., n.</w:t>
      </w:r>
      <w:r w:rsidRPr="00890A48">
        <w:rPr>
          <w:sz w:val="20"/>
          <w:szCs w:val="20"/>
        </w:rPr>
        <w:t xml:space="preserve"> 27.</w:t>
      </w:r>
    </w:p>
  </w:footnote>
  <w:footnote w:id="99">
    <w:p w14:paraId="685E29F7" w14:textId="77777777"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The committee did vote unanimously to publish the report, but we do not know the internal dynamics of that decision. </w:t>
      </w:r>
    </w:p>
  </w:footnote>
  <w:footnote w:id="100">
    <w:p w14:paraId="7F7CE9FA" w14:textId="03D2ACF4"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House of Commons Public Administration and Constitutional Affairs Committee, op. cit., n. 27, p. 25.</w:t>
      </w:r>
    </w:p>
  </w:footnote>
  <w:footnote w:id="101">
    <w:p w14:paraId="021B0C90" w14:textId="452B9ECD" w:rsidR="00CE164C" w:rsidRPr="00890A48" w:rsidRDefault="00CE164C">
      <w:pPr>
        <w:pStyle w:val="FootnoteText"/>
        <w:rPr>
          <w:sz w:val="20"/>
          <w:szCs w:val="20"/>
          <w:lang w:val="en-GB"/>
        </w:rPr>
      </w:pPr>
      <w:r w:rsidRPr="00890A48">
        <w:rPr>
          <w:rStyle w:val="FootnoteReference"/>
          <w:sz w:val="20"/>
          <w:szCs w:val="20"/>
        </w:rPr>
        <w:footnoteRef/>
      </w:r>
      <w:r w:rsidRPr="00890A48">
        <w:rPr>
          <w:sz w:val="20"/>
          <w:szCs w:val="20"/>
        </w:rPr>
        <w:t xml:space="preserve"> Lord Speaker’s Committee, </w:t>
      </w:r>
      <w:r w:rsidRPr="00890A48">
        <w:rPr>
          <w:rFonts w:ascii="Calibri" w:eastAsia="Times New Roman" w:hAnsi="Calibri" w:cs="Times New Roman"/>
          <w:color w:val="000000"/>
          <w:sz w:val="20"/>
          <w:szCs w:val="20"/>
        </w:rPr>
        <w:t>op. cit., n. 27.</w:t>
      </w:r>
    </w:p>
  </w:footnote>
  <w:footnote w:id="102">
    <w:p w14:paraId="17AD74E2" w14:textId="5E4E870B" w:rsidR="00CE164C" w:rsidRPr="00890A48" w:rsidRDefault="00CE164C">
      <w:pPr>
        <w:pStyle w:val="FootnoteText"/>
        <w:rPr>
          <w:sz w:val="20"/>
          <w:szCs w:val="20"/>
          <w:lang w:val="en-GB"/>
        </w:rPr>
      </w:pPr>
      <w:r w:rsidRPr="00890A48">
        <w:rPr>
          <w:rStyle w:val="FootnoteReference"/>
          <w:sz w:val="20"/>
          <w:szCs w:val="20"/>
        </w:rPr>
        <w:footnoteRef/>
      </w:r>
      <w:r w:rsidRPr="00890A48">
        <w:rPr>
          <w:sz w:val="20"/>
          <w:szCs w:val="20"/>
        </w:rPr>
        <w:t xml:space="preserve"> Lord Speaker’s Committee, </w:t>
      </w:r>
      <w:r w:rsidRPr="00890A48">
        <w:rPr>
          <w:rFonts w:ascii="Calibri" w:eastAsia="Times New Roman" w:hAnsi="Calibri" w:cs="Times New Roman"/>
          <w:color w:val="000000"/>
          <w:sz w:val="20"/>
          <w:szCs w:val="20"/>
        </w:rPr>
        <w:t>op. cit., n. 27, p. 18.</w:t>
      </w:r>
    </w:p>
  </w:footnote>
  <w:footnote w:id="103">
    <w:p w14:paraId="6C9245F9" w14:textId="04D9B483" w:rsidR="00CE164C" w:rsidRPr="00890A48" w:rsidRDefault="00CE164C">
      <w:pPr>
        <w:pStyle w:val="FootnoteText"/>
        <w:rPr>
          <w:sz w:val="20"/>
          <w:szCs w:val="20"/>
          <w:lang w:val="en-GB"/>
        </w:rPr>
      </w:pPr>
      <w:r w:rsidRPr="00890A48">
        <w:rPr>
          <w:rStyle w:val="FootnoteReference"/>
          <w:sz w:val="20"/>
          <w:szCs w:val="20"/>
        </w:rPr>
        <w:footnoteRef/>
      </w:r>
      <w:r w:rsidRPr="00890A48">
        <w:rPr>
          <w:sz w:val="20"/>
          <w:szCs w:val="20"/>
        </w:rPr>
        <w:t xml:space="preserve"> HL Deb </w:t>
      </w:r>
      <w:proofErr w:type="spellStart"/>
      <w:r w:rsidRPr="00890A48">
        <w:rPr>
          <w:sz w:val="20"/>
          <w:szCs w:val="20"/>
        </w:rPr>
        <w:t>vol</w:t>
      </w:r>
      <w:proofErr w:type="spellEnd"/>
      <w:r w:rsidRPr="00890A48">
        <w:rPr>
          <w:sz w:val="20"/>
          <w:szCs w:val="20"/>
        </w:rPr>
        <w:t xml:space="preserve"> 787 col 1966 (19 December 2017).</w:t>
      </w:r>
    </w:p>
  </w:footnote>
  <w:footnote w:id="104">
    <w:p w14:paraId="762928AF" w14:textId="16280D8B"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21, clerk (27 July 2017).</w:t>
      </w:r>
    </w:p>
  </w:footnote>
  <w:footnote w:id="105">
    <w:p w14:paraId="240AADFF" w14:textId="151882B8"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C. </w:t>
      </w:r>
      <w:proofErr w:type="spellStart"/>
      <w:r w:rsidRPr="00890A48">
        <w:rPr>
          <w:sz w:val="20"/>
          <w:szCs w:val="20"/>
        </w:rPr>
        <w:t>Fasone</w:t>
      </w:r>
      <w:proofErr w:type="spellEnd"/>
      <w:r w:rsidRPr="00890A48">
        <w:rPr>
          <w:sz w:val="20"/>
          <w:szCs w:val="20"/>
        </w:rPr>
        <w:t xml:space="preserve"> and N. </w:t>
      </w:r>
      <w:proofErr w:type="spellStart"/>
      <w:r w:rsidRPr="00890A48">
        <w:rPr>
          <w:sz w:val="20"/>
          <w:szCs w:val="20"/>
        </w:rPr>
        <w:t>Lupo</w:t>
      </w:r>
      <w:proofErr w:type="spellEnd"/>
      <w:r w:rsidRPr="00890A48">
        <w:rPr>
          <w:sz w:val="20"/>
          <w:szCs w:val="20"/>
        </w:rPr>
        <w:t xml:space="preserve">, ‘Transparency vs. Informality in Legislative Committees: Comparing the US House of Representatives, the Italian Chamber of Deputies and the European Parliament’ (2015) 21(3) </w:t>
      </w:r>
      <w:r w:rsidRPr="00890A48">
        <w:rPr>
          <w:i/>
          <w:sz w:val="20"/>
          <w:szCs w:val="20"/>
        </w:rPr>
        <w:t>J of Legislative Studies</w:t>
      </w:r>
      <w:r w:rsidRPr="00890A48">
        <w:rPr>
          <w:sz w:val="20"/>
          <w:szCs w:val="20"/>
        </w:rPr>
        <w:t xml:space="preserve"> 342, at 344.</w:t>
      </w:r>
    </w:p>
  </w:footnote>
  <w:footnote w:id="106">
    <w:p w14:paraId="48C1E32E" w14:textId="1C07D007"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21, clerk (27 July 2017).</w:t>
      </w:r>
    </w:p>
  </w:footnote>
  <w:footnote w:id="107">
    <w:p w14:paraId="513549DB" w14:textId="77777777"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According to which ‘the freedom of speech and debates or proceedings in parliament ought not to be impeached or questioned in any court or place out of Parliament’.</w:t>
      </w:r>
    </w:p>
  </w:footnote>
  <w:footnote w:id="108">
    <w:p w14:paraId="045F30DA" w14:textId="6FF3E4D9"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6, clerk (26 May 2017).</w:t>
      </w:r>
    </w:p>
  </w:footnote>
  <w:footnote w:id="109">
    <w:p w14:paraId="52E1C9F3" w14:textId="50450B63"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Lord </w:t>
      </w:r>
      <w:proofErr w:type="spellStart"/>
      <w:r w:rsidRPr="00890A48">
        <w:rPr>
          <w:sz w:val="20"/>
          <w:szCs w:val="20"/>
        </w:rPr>
        <w:t>Lisvane</w:t>
      </w:r>
      <w:proofErr w:type="spellEnd"/>
      <w:r w:rsidRPr="00890A48">
        <w:rPr>
          <w:sz w:val="20"/>
          <w:szCs w:val="20"/>
        </w:rPr>
        <w:t xml:space="preserve">, ‘The Courts and Parliament’ [2016] </w:t>
      </w:r>
      <w:r w:rsidRPr="00890A48">
        <w:rPr>
          <w:i/>
          <w:sz w:val="20"/>
          <w:szCs w:val="20"/>
        </w:rPr>
        <w:t>Public Law</w:t>
      </w:r>
      <w:r w:rsidRPr="00890A48">
        <w:rPr>
          <w:sz w:val="20"/>
          <w:szCs w:val="20"/>
        </w:rPr>
        <w:t xml:space="preserve"> 272, at 277.</w:t>
      </w:r>
    </w:p>
  </w:footnote>
  <w:footnote w:id="110">
    <w:p w14:paraId="3B0D564E" w14:textId="7A9F50A4"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E. Samson, ‘Privilege: The Unfolding Debate with the Courts’ in </w:t>
      </w:r>
      <w:r w:rsidRPr="00890A48">
        <w:rPr>
          <w:i/>
          <w:sz w:val="20"/>
          <w:szCs w:val="20"/>
        </w:rPr>
        <w:t xml:space="preserve">Essays on the History of Parliamentary Procedure: In </w:t>
      </w:r>
      <w:proofErr w:type="spellStart"/>
      <w:r w:rsidRPr="00890A48">
        <w:rPr>
          <w:i/>
          <w:sz w:val="20"/>
          <w:szCs w:val="20"/>
        </w:rPr>
        <w:t>Honour</w:t>
      </w:r>
      <w:proofErr w:type="spellEnd"/>
      <w:r w:rsidRPr="00890A48">
        <w:rPr>
          <w:i/>
          <w:sz w:val="20"/>
          <w:szCs w:val="20"/>
        </w:rPr>
        <w:t xml:space="preserve"> of Thomas Erskine May</w:t>
      </w:r>
      <w:r w:rsidRPr="00890A48">
        <w:rPr>
          <w:sz w:val="20"/>
          <w:szCs w:val="20"/>
        </w:rPr>
        <w:t>,</w:t>
      </w:r>
      <w:r w:rsidRPr="00890A48">
        <w:rPr>
          <w:i/>
          <w:sz w:val="20"/>
          <w:szCs w:val="20"/>
        </w:rPr>
        <w:t xml:space="preserve"> </w:t>
      </w:r>
      <w:r w:rsidRPr="00890A48">
        <w:rPr>
          <w:sz w:val="20"/>
          <w:szCs w:val="20"/>
        </w:rPr>
        <w:t>ed. P. Evans (2017) 287, at 306.</w:t>
      </w:r>
    </w:p>
  </w:footnote>
  <w:footnote w:id="111">
    <w:p w14:paraId="230A34E7" w14:textId="7E47A80B" w:rsidR="00CE164C" w:rsidRPr="00890A48" w:rsidRDefault="00CE164C">
      <w:pPr>
        <w:pStyle w:val="FootnoteText"/>
        <w:rPr>
          <w:sz w:val="20"/>
          <w:szCs w:val="20"/>
        </w:rPr>
      </w:pPr>
      <w:r w:rsidRPr="00890A48">
        <w:rPr>
          <w:rStyle w:val="FootnoteReference"/>
          <w:sz w:val="20"/>
          <w:szCs w:val="20"/>
        </w:rPr>
        <w:footnoteRef/>
      </w:r>
      <w:r w:rsidRPr="00890A48">
        <w:rPr>
          <w:sz w:val="20"/>
          <w:szCs w:val="20"/>
        </w:rPr>
        <w:t xml:space="preserve"> Email from interviewee 73, parliamentary lawyer (18 July 2018).</w:t>
      </w:r>
    </w:p>
  </w:footnote>
  <w:footnote w:id="112">
    <w:p w14:paraId="09B4BED0" w14:textId="77777777"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w:t>
      </w:r>
      <w:r w:rsidRPr="00890A48">
        <w:rPr>
          <w:i/>
          <w:sz w:val="20"/>
          <w:szCs w:val="20"/>
        </w:rPr>
        <w:t xml:space="preserve">Prudential PLC and Prudential (Gibraltar) Ltd v Special Commissioner of Income Tax and Philip </w:t>
      </w:r>
      <w:proofErr w:type="spellStart"/>
      <w:r w:rsidRPr="00890A48">
        <w:rPr>
          <w:i/>
          <w:sz w:val="20"/>
          <w:szCs w:val="20"/>
        </w:rPr>
        <w:t>Pandolfo</w:t>
      </w:r>
      <w:proofErr w:type="spellEnd"/>
      <w:r w:rsidRPr="00890A48">
        <w:rPr>
          <w:i/>
          <w:sz w:val="20"/>
          <w:szCs w:val="20"/>
        </w:rPr>
        <w:t xml:space="preserve"> (HM Inspector of Taxes</w:t>
      </w:r>
      <w:r w:rsidRPr="00890A48">
        <w:rPr>
          <w:sz w:val="20"/>
          <w:szCs w:val="20"/>
        </w:rPr>
        <w:t>) [2013] 2 AC 185, [100].</w:t>
      </w:r>
    </w:p>
  </w:footnote>
  <w:footnote w:id="113">
    <w:p w14:paraId="7608E82F" w14:textId="4B52ADCB"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Op. cit., n.77, [61] (Baroness Hale).</w:t>
      </w:r>
    </w:p>
  </w:footnote>
  <w:footnote w:id="114">
    <w:p w14:paraId="4EC03CDF" w14:textId="48A3A28C"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22, parliamentary lawyer (27 July 2017).</w:t>
      </w:r>
    </w:p>
  </w:footnote>
  <w:footnote w:id="115">
    <w:p w14:paraId="3FEC2322" w14:textId="489FBD62"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19, parliamentary lawyer (26 July 2017).</w:t>
      </w:r>
    </w:p>
  </w:footnote>
  <w:footnote w:id="116">
    <w:p w14:paraId="610CAD4F" w14:textId="6479B1D7" w:rsidR="00CE164C" w:rsidRPr="00890A48" w:rsidRDefault="00CE164C" w:rsidP="004F0677">
      <w:pPr>
        <w:pStyle w:val="FootnoteText"/>
        <w:jc w:val="both"/>
        <w:rPr>
          <w:rFonts w:cstheme="minorHAnsi"/>
          <w:sz w:val="20"/>
          <w:szCs w:val="20"/>
        </w:rPr>
      </w:pPr>
      <w:r w:rsidRPr="00890A48">
        <w:rPr>
          <w:rStyle w:val="FootnoteReference"/>
          <w:rFonts w:cstheme="minorHAnsi"/>
          <w:sz w:val="20"/>
          <w:szCs w:val="20"/>
        </w:rPr>
        <w:footnoteRef/>
      </w:r>
      <w:r w:rsidRPr="00890A48">
        <w:rPr>
          <w:rFonts w:cstheme="minorHAnsi"/>
          <w:sz w:val="20"/>
          <w:szCs w:val="20"/>
        </w:rPr>
        <w:t xml:space="preserve"> M. Windsor, ‘Narrative Kill or Capture: Unreliable Narration in International Law’ (2015) 28(4) </w:t>
      </w:r>
      <w:r w:rsidRPr="00890A48">
        <w:rPr>
          <w:rFonts w:cstheme="minorHAnsi"/>
          <w:i/>
          <w:sz w:val="20"/>
          <w:szCs w:val="20"/>
        </w:rPr>
        <w:t>Leiden J of International Law</w:t>
      </w:r>
      <w:r w:rsidRPr="00890A48">
        <w:rPr>
          <w:rFonts w:cstheme="minorHAnsi"/>
          <w:sz w:val="20"/>
          <w:szCs w:val="20"/>
        </w:rPr>
        <w:t xml:space="preserve"> 743, at 763, citing M. Weller, </w:t>
      </w:r>
      <w:r w:rsidRPr="00890A48">
        <w:rPr>
          <w:rFonts w:cstheme="minorHAnsi"/>
          <w:i/>
          <w:iCs/>
          <w:sz w:val="20"/>
          <w:szCs w:val="20"/>
        </w:rPr>
        <w:t xml:space="preserve">Iraq and the Use of Force in International Law </w:t>
      </w:r>
      <w:r w:rsidRPr="00890A48">
        <w:rPr>
          <w:rFonts w:cstheme="minorHAnsi"/>
          <w:sz w:val="20"/>
          <w:szCs w:val="20"/>
        </w:rPr>
        <w:t>(2010) at 253.</w:t>
      </w:r>
    </w:p>
  </w:footnote>
  <w:footnote w:id="117">
    <w:p w14:paraId="3E61A75C" w14:textId="3331415A"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19, parliamentary lawyer (26 July 2017).</w:t>
      </w:r>
    </w:p>
  </w:footnote>
  <w:footnote w:id="118">
    <w:p w14:paraId="14630CB6" w14:textId="25B0DE31"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Op. cit., n.77.</w:t>
      </w:r>
    </w:p>
  </w:footnote>
  <w:footnote w:id="119">
    <w:p w14:paraId="36EB6BFF" w14:textId="3950E126"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19, parliamentary lawyer (26 July 2017).</w:t>
      </w:r>
    </w:p>
  </w:footnote>
  <w:footnote w:id="120">
    <w:p w14:paraId="009AF33A" w14:textId="6EDA50A9"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22, parliamentary lawyer (27 July 2017).</w:t>
      </w:r>
    </w:p>
  </w:footnote>
  <w:footnote w:id="121">
    <w:p w14:paraId="5371A686" w14:textId="485545C6"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9, parliamentary lawyer (22 June 2017).</w:t>
      </w:r>
    </w:p>
  </w:footnote>
  <w:footnote w:id="122">
    <w:p w14:paraId="4A0E5432" w14:textId="62131ECF"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21, clerk (27 July 2017).</w:t>
      </w:r>
    </w:p>
  </w:footnote>
  <w:footnote w:id="123">
    <w:p w14:paraId="22C0EE96" w14:textId="7E823C60"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Id.</w:t>
      </w:r>
    </w:p>
  </w:footnote>
  <w:footnote w:id="124">
    <w:p w14:paraId="5E8DC3F6" w14:textId="61D783F5"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Kennon, op. cit., n. 23, p. 124.</w:t>
      </w:r>
    </w:p>
  </w:footnote>
  <w:footnote w:id="125">
    <w:p w14:paraId="7FA39B8A" w14:textId="74DC6466"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E.g., </w:t>
      </w:r>
      <w:r w:rsidRPr="00890A48">
        <w:rPr>
          <w:rFonts w:cstheme="minorHAnsi"/>
          <w:sz w:val="20"/>
          <w:szCs w:val="20"/>
        </w:rPr>
        <w:t xml:space="preserve">R. Marchant, ‘Representing Representatives: Ethical Considerations for the Legislature’s Attorneys’ (2003) 6 </w:t>
      </w:r>
      <w:r w:rsidRPr="00890A48">
        <w:rPr>
          <w:rFonts w:cstheme="minorHAnsi"/>
          <w:i/>
          <w:sz w:val="20"/>
          <w:szCs w:val="20"/>
        </w:rPr>
        <w:t>New York University J of Legislation and Public Policy</w:t>
      </w:r>
      <w:r w:rsidRPr="00890A48">
        <w:rPr>
          <w:rFonts w:cstheme="minorHAnsi"/>
          <w:sz w:val="20"/>
          <w:szCs w:val="20"/>
        </w:rPr>
        <w:t xml:space="preserve"> 439; and M. Stern, ‘Ethical Obligations of Congressional Lawyers’ (2008) 63 </w:t>
      </w:r>
      <w:r w:rsidRPr="00890A48">
        <w:rPr>
          <w:rFonts w:cstheme="minorHAnsi"/>
          <w:i/>
          <w:sz w:val="20"/>
          <w:szCs w:val="20"/>
        </w:rPr>
        <w:t>NYU Annual Survey of American Law</w:t>
      </w:r>
      <w:r w:rsidRPr="00890A48">
        <w:rPr>
          <w:rFonts w:cstheme="minorHAnsi"/>
          <w:sz w:val="20"/>
          <w:szCs w:val="20"/>
        </w:rPr>
        <w:t xml:space="preserve"> 191. However, other authors </w:t>
      </w:r>
      <w:r w:rsidRPr="00890A48">
        <w:rPr>
          <w:sz w:val="20"/>
          <w:szCs w:val="20"/>
        </w:rPr>
        <w:t xml:space="preserve">altogether reject the applicability of lawyer-client paradigm in the legislative context: </w:t>
      </w:r>
      <w:r w:rsidRPr="00890A48">
        <w:rPr>
          <w:rFonts w:cstheme="minorHAnsi"/>
          <w:sz w:val="20"/>
          <w:szCs w:val="20"/>
        </w:rPr>
        <w:t xml:space="preserve">M. Glennon, ‘Who’s the client? Legislative Lawyering through the Rear View Mirror’ (1998) 61 </w:t>
      </w:r>
      <w:r w:rsidRPr="00890A48">
        <w:rPr>
          <w:rFonts w:cstheme="minorHAnsi"/>
          <w:i/>
          <w:sz w:val="20"/>
          <w:szCs w:val="20"/>
        </w:rPr>
        <w:t>Law and Contemporary Problems</w:t>
      </w:r>
      <w:r w:rsidRPr="00890A48">
        <w:rPr>
          <w:rFonts w:cstheme="minorHAnsi"/>
          <w:sz w:val="20"/>
          <w:szCs w:val="20"/>
        </w:rPr>
        <w:t xml:space="preserve"> 21.</w:t>
      </w:r>
    </w:p>
  </w:footnote>
  <w:footnote w:id="126">
    <w:p w14:paraId="429301E8" w14:textId="302031FB" w:rsidR="00CE164C" w:rsidRPr="00890A48" w:rsidRDefault="00CE164C" w:rsidP="004F0677">
      <w:pPr>
        <w:pStyle w:val="FootnoteText"/>
        <w:jc w:val="both"/>
        <w:rPr>
          <w:rFonts w:cstheme="minorHAnsi"/>
          <w:sz w:val="20"/>
          <w:szCs w:val="20"/>
        </w:rPr>
      </w:pPr>
      <w:r w:rsidRPr="00890A48">
        <w:rPr>
          <w:rStyle w:val="FootnoteReference"/>
          <w:rFonts w:cstheme="minorHAnsi"/>
          <w:sz w:val="20"/>
          <w:szCs w:val="20"/>
        </w:rPr>
        <w:footnoteRef/>
      </w:r>
      <w:r w:rsidRPr="00890A48">
        <w:rPr>
          <w:rFonts w:cstheme="minorHAnsi"/>
          <w:sz w:val="20"/>
          <w:szCs w:val="20"/>
        </w:rPr>
        <w:t xml:space="preserve"> Stern, id., 196</w:t>
      </w:r>
    </w:p>
  </w:footnote>
  <w:footnote w:id="127">
    <w:p w14:paraId="1CBCF607" w14:textId="28023ECF"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21, clerk (27 July 2017).</w:t>
      </w:r>
    </w:p>
  </w:footnote>
  <w:footnote w:id="128">
    <w:p w14:paraId="18372EBB" w14:textId="635B8E3C"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5, parliamentary lawyer (25 May 2017). </w:t>
      </w:r>
    </w:p>
  </w:footnote>
  <w:footnote w:id="129">
    <w:p w14:paraId="18087AA7" w14:textId="4604879A"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w:t>
      </w:r>
      <w:r w:rsidRPr="00890A48">
        <w:rPr>
          <w:rFonts w:cstheme="minorHAnsi"/>
          <w:sz w:val="20"/>
          <w:szCs w:val="20"/>
        </w:rPr>
        <w:t xml:space="preserve">A. Donald and P. Leach, ‘The Role of Parliaments Following Judgments of the European Court of Human Rights’ in </w:t>
      </w:r>
      <w:r w:rsidRPr="00890A48">
        <w:rPr>
          <w:i/>
          <w:sz w:val="20"/>
          <w:szCs w:val="20"/>
        </w:rPr>
        <w:t>Parliaments and Human Rights</w:t>
      </w:r>
      <w:r w:rsidRPr="00890A48">
        <w:rPr>
          <w:sz w:val="20"/>
          <w:szCs w:val="20"/>
        </w:rPr>
        <w:t xml:space="preserve">, eds. M. Hunt et al., (2015) </w:t>
      </w:r>
      <w:r w:rsidRPr="00890A48">
        <w:rPr>
          <w:rFonts w:cstheme="minorHAnsi"/>
          <w:sz w:val="20"/>
          <w:szCs w:val="20"/>
        </w:rPr>
        <w:t>59, at p. 76.</w:t>
      </w:r>
    </w:p>
  </w:footnote>
  <w:footnote w:id="130">
    <w:p w14:paraId="18560D6C" w14:textId="61D40A6B"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 interviewee 10, parliamentary lawyer (27 June 2017).</w:t>
      </w:r>
    </w:p>
  </w:footnote>
  <w:footnote w:id="131">
    <w:p w14:paraId="384D96EA" w14:textId="41D12BFB"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w:t>
      </w:r>
      <w:proofErr w:type="spellStart"/>
      <w:r w:rsidRPr="00890A48">
        <w:rPr>
          <w:sz w:val="20"/>
          <w:szCs w:val="20"/>
        </w:rPr>
        <w:t>Feldblum</w:t>
      </w:r>
      <w:proofErr w:type="spellEnd"/>
      <w:r w:rsidRPr="00890A48">
        <w:rPr>
          <w:sz w:val="20"/>
          <w:szCs w:val="20"/>
        </w:rPr>
        <w:t xml:space="preserve"> argues that any lawyer working in a legislative context ‘must establish ... bona fides with the political establishment. The key players must feel that the legislative lawyer "gets the political scene"-so that the legislative lawyer will be fully trusted’:</w:t>
      </w:r>
      <w:r w:rsidRPr="00890A48">
        <w:rPr>
          <w:rFonts w:cstheme="minorHAnsi"/>
          <w:sz w:val="20"/>
          <w:szCs w:val="20"/>
        </w:rPr>
        <w:t xml:space="preserve"> C. </w:t>
      </w:r>
      <w:proofErr w:type="spellStart"/>
      <w:r w:rsidRPr="00890A48">
        <w:rPr>
          <w:rFonts w:cstheme="minorHAnsi"/>
          <w:sz w:val="20"/>
          <w:szCs w:val="20"/>
        </w:rPr>
        <w:t>Feldblum</w:t>
      </w:r>
      <w:proofErr w:type="spellEnd"/>
      <w:r w:rsidRPr="00890A48">
        <w:rPr>
          <w:rFonts w:cstheme="minorHAnsi"/>
          <w:sz w:val="20"/>
          <w:szCs w:val="20"/>
        </w:rPr>
        <w:t xml:space="preserve">, ‘The Art of Legislative Lawyering and the Six Circles Theory of Advocacy’ (2003) 34 </w:t>
      </w:r>
      <w:r w:rsidRPr="00890A48">
        <w:rPr>
          <w:rFonts w:cstheme="minorHAnsi"/>
          <w:i/>
          <w:sz w:val="20"/>
          <w:szCs w:val="20"/>
        </w:rPr>
        <w:t xml:space="preserve">McGeorge Law Rev. </w:t>
      </w:r>
      <w:r w:rsidRPr="00890A48">
        <w:rPr>
          <w:rFonts w:cstheme="minorHAnsi"/>
          <w:sz w:val="20"/>
          <w:szCs w:val="20"/>
        </w:rPr>
        <w:t>785, at 798.</w:t>
      </w:r>
    </w:p>
  </w:footnote>
  <w:footnote w:id="132">
    <w:p w14:paraId="13A36F12" w14:textId="03917BCE"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11, clerk (29 June 2017).</w:t>
      </w:r>
    </w:p>
  </w:footnote>
  <w:footnote w:id="133">
    <w:p w14:paraId="7FE8B3C4" w14:textId="704DE4B3"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Id.</w:t>
      </w:r>
    </w:p>
  </w:footnote>
  <w:footnote w:id="134">
    <w:p w14:paraId="1D45692E" w14:textId="737067CD"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21, clerk (27 July 2017).</w:t>
      </w:r>
    </w:p>
  </w:footnote>
  <w:footnote w:id="135">
    <w:p w14:paraId="0AE0D0AC" w14:textId="41D6535C"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22, parliamentary lawyer (27 July 2017).</w:t>
      </w:r>
    </w:p>
  </w:footnote>
  <w:footnote w:id="136">
    <w:p w14:paraId="6DB20A7B" w14:textId="165EB765"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P. </w:t>
      </w:r>
      <w:proofErr w:type="spellStart"/>
      <w:r w:rsidRPr="00890A48">
        <w:rPr>
          <w:sz w:val="20"/>
          <w:szCs w:val="20"/>
        </w:rPr>
        <w:t>Weingart</w:t>
      </w:r>
      <w:proofErr w:type="spellEnd"/>
      <w:r w:rsidRPr="00890A48">
        <w:rPr>
          <w:sz w:val="20"/>
          <w:szCs w:val="20"/>
        </w:rPr>
        <w:t xml:space="preserve"> ‘Scientific expertise and political accountability: paradoxes of science in politics’ (1999) 26(3) </w:t>
      </w:r>
      <w:r w:rsidRPr="00890A48">
        <w:rPr>
          <w:i/>
          <w:sz w:val="20"/>
          <w:szCs w:val="20"/>
        </w:rPr>
        <w:t>Science and Public Policy</w:t>
      </w:r>
      <w:r w:rsidRPr="00890A48">
        <w:rPr>
          <w:sz w:val="20"/>
          <w:szCs w:val="20"/>
        </w:rPr>
        <w:t xml:space="preserve"> 151, at 157.</w:t>
      </w:r>
    </w:p>
  </w:footnote>
  <w:footnote w:id="137">
    <w:p w14:paraId="16C79558" w14:textId="307BA552"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Id., p. 158.</w:t>
      </w:r>
    </w:p>
  </w:footnote>
  <w:footnote w:id="138">
    <w:p w14:paraId="286FE255" w14:textId="5648CFF4"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22, parliamentary lawyer (27 July 2017).</w:t>
      </w:r>
    </w:p>
  </w:footnote>
  <w:footnote w:id="139">
    <w:p w14:paraId="674AAEB1" w14:textId="6EFADD26"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11, clerk (29 June 2017).</w:t>
      </w:r>
    </w:p>
  </w:footnote>
  <w:footnote w:id="140">
    <w:p w14:paraId="371CB802" w14:textId="4633422B"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interviewee 9, parliamentary lawyer (22 June 2017).</w:t>
      </w:r>
    </w:p>
  </w:footnote>
  <w:footnote w:id="141">
    <w:p w14:paraId="63CBFA4B" w14:textId="4817CDE3"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w:t>
      </w:r>
      <w:r w:rsidRPr="00890A48">
        <w:rPr>
          <w:rFonts w:cstheme="minorHAnsi"/>
          <w:sz w:val="20"/>
          <w:szCs w:val="20"/>
        </w:rPr>
        <w:t>Feldman, op. cit. n. 18, p. 343; and</w:t>
      </w:r>
      <w:r w:rsidRPr="00890A48">
        <w:rPr>
          <w:sz w:val="20"/>
          <w:szCs w:val="20"/>
        </w:rPr>
        <w:t xml:space="preserve"> Le Sueur and </w:t>
      </w:r>
      <w:proofErr w:type="spellStart"/>
      <w:r w:rsidRPr="00890A48">
        <w:rPr>
          <w:sz w:val="20"/>
          <w:szCs w:val="20"/>
        </w:rPr>
        <w:t>Caird</w:t>
      </w:r>
      <w:proofErr w:type="spellEnd"/>
      <w:r w:rsidRPr="00890A48">
        <w:rPr>
          <w:sz w:val="20"/>
          <w:szCs w:val="20"/>
        </w:rPr>
        <w:t xml:space="preserve">, </w:t>
      </w:r>
      <w:r w:rsidRPr="00890A48">
        <w:rPr>
          <w:rFonts w:cstheme="minorHAnsi"/>
          <w:sz w:val="20"/>
          <w:szCs w:val="20"/>
        </w:rPr>
        <w:t xml:space="preserve">op. cit. n. 19, p. </w:t>
      </w:r>
      <w:r w:rsidRPr="00890A48">
        <w:rPr>
          <w:sz w:val="20"/>
          <w:szCs w:val="20"/>
        </w:rPr>
        <w:t>291.</w:t>
      </w:r>
    </w:p>
  </w:footnote>
  <w:footnote w:id="142">
    <w:p w14:paraId="234DF9B9" w14:textId="68F4F6CE"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w:t>
      </w:r>
      <w:proofErr w:type="spellStart"/>
      <w:r w:rsidRPr="00890A48">
        <w:rPr>
          <w:sz w:val="20"/>
          <w:szCs w:val="20"/>
        </w:rPr>
        <w:t>Winzen</w:t>
      </w:r>
      <w:proofErr w:type="spellEnd"/>
      <w:r w:rsidRPr="00890A48">
        <w:rPr>
          <w:sz w:val="20"/>
          <w:szCs w:val="20"/>
        </w:rPr>
        <w:t xml:space="preserve">, op. cit. n. 16; </w:t>
      </w:r>
      <w:proofErr w:type="spellStart"/>
      <w:r w:rsidRPr="00890A48">
        <w:rPr>
          <w:sz w:val="20"/>
          <w:szCs w:val="20"/>
        </w:rPr>
        <w:t>Egeberg</w:t>
      </w:r>
      <w:proofErr w:type="spellEnd"/>
      <w:r w:rsidRPr="00890A48">
        <w:rPr>
          <w:sz w:val="20"/>
          <w:szCs w:val="20"/>
        </w:rPr>
        <w:t xml:space="preserve">, et al., ‘Parliament staff: unpacking the </w:t>
      </w:r>
      <w:proofErr w:type="spellStart"/>
      <w:r w:rsidRPr="00890A48">
        <w:rPr>
          <w:sz w:val="20"/>
          <w:szCs w:val="20"/>
        </w:rPr>
        <w:t>behaviour</w:t>
      </w:r>
      <w:proofErr w:type="spellEnd"/>
      <w:r w:rsidRPr="00890A48">
        <w:rPr>
          <w:sz w:val="20"/>
          <w:szCs w:val="20"/>
        </w:rPr>
        <w:t xml:space="preserve"> of officials in the European Parliament’ (2013) 20(4) J of European Public Policy 495; </w:t>
      </w:r>
      <w:proofErr w:type="spellStart"/>
      <w:r w:rsidRPr="00890A48">
        <w:rPr>
          <w:sz w:val="20"/>
          <w:szCs w:val="20"/>
        </w:rPr>
        <w:t>Neuhold</w:t>
      </w:r>
      <w:proofErr w:type="spellEnd"/>
      <w:r w:rsidRPr="00890A48">
        <w:rPr>
          <w:sz w:val="20"/>
          <w:szCs w:val="20"/>
        </w:rPr>
        <w:t xml:space="preserve"> and </w:t>
      </w:r>
      <w:proofErr w:type="spellStart"/>
      <w:r w:rsidRPr="00890A48">
        <w:rPr>
          <w:sz w:val="20"/>
          <w:szCs w:val="20"/>
        </w:rPr>
        <w:t>Dobbels</w:t>
      </w:r>
      <w:proofErr w:type="spellEnd"/>
      <w:r w:rsidRPr="00890A48">
        <w:rPr>
          <w:sz w:val="20"/>
          <w:szCs w:val="20"/>
        </w:rPr>
        <w:t>, op. cit. n. 16.</w:t>
      </w:r>
    </w:p>
  </w:footnote>
  <w:footnote w:id="143">
    <w:p w14:paraId="098FA0E1" w14:textId="53A400CE"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S. Turner, </w:t>
      </w:r>
      <w:r w:rsidRPr="00890A48">
        <w:rPr>
          <w:i/>
          <w:sz w:val="20"/>
          <w:szCs w:val="20"/>
        </w:rPr>
        <w:t>The Politics of Expertise</w:t>
      </w:r>
      <w:r w:rsidRPr="00890A48">
        <w:rPr>
          <w:sz w:val="20"/>
          <w:szCs w:val="20"/>
        </w:rPr>
        <w:t xml:space="preserve"> (2014), p. 23.</w:t>
      </w:r>
    </w:p>
  </w:footnote>
  <w:footnote w:id="144">
    <w:p w14:paraId="48F24314" w14:textId="5D299632"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Id., p. 26.</w:t>
      </w:r>
    </w:p>
  </w:footnote>
  <w:footnote w:id="145">
    <w:p w14:paraId="2E980095" w14:textId="77777777" w:rsidR="00CE164C" w:rsidRPr="00890A48" w:rsidRDefault="00CE164C" w:rsidP="004F0677">
      <w:pPr>
        <w:pStyle w:val="FootnoteText"/>
        <w:jc w:val="both"/>
        <w:rPr>
          <w:sz w:val="20"/>
          <w:szCs w:val="20"/>
        </w:rPr>
      </w:pPr>
      <w:r w:rsidRPr="00890A48">
        <w:rPr>
          <w:rStyle w:val="FootnoteReference"/>
          <w:sz w:val="20"/>
          <w:szCs w:val="20"/>
        </w:rPr>
        <w:footnoteRef/>
      </w:r>
      <w:r w:rsidRPr="00890A48">
        <w:rPr>
          <w:sz w:val="20"/>
          <w:szCs w:val="20"/>
        </w:rPr>
        <w:t xml:space="preserve"> This is even more the case in devolved legislatures, where parliamentary lawyers usually operate in a unified team.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066D7"/>
    <w:multiLevelType w:val="hybridMultilevel"/>
    <w:tmpl w:val="01905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B6FFE"/>
    <w:multiLevelType w:val="hybridMultilevel"/>
    <w:tmpl w:val="03983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C51B3"/>
    <w:multiLevelType w:val="hybridMultilevel"/>
    <w:tmpl w:val="1BECA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651A7"/>
    <w:multiLevelType w:val="hybridMultilevel"/>
    <w:tmpl w:val="77BE3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4522D"/>
    <w:multiLevelType w:val="hybridMultilevel"/>
    <w:tmpl w:val="25E2A4F4"/>
    <w:lvl w:ilvl="0" w:tplc="7FAA1E5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B5F59F7"/>
    <w:multiLevelType w:val="hybridMultilevel"/>
    <w:tmpl w:val="2D821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A726AD"/>
    <w:multiLevelType w:val="hybridMultilevel"/>
    <w:tmpl w:val="4BB02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5F6FA4"/>
    <w:multiLevelType w:val="hybridMultilevel"/>
    <w:tmpl w:val="5688F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8F28B7"/>
    <w:multiLevelType w:val="hybridMultilevel"/>
    <w:tmpl w:val="6438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C81811"/>
    <w:multiLevelType w:val="hybridMultilevel"/>
    <w:tmpl w:val="1262B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8E56FC"/>
    <w:multiLevelType w:val="hybridMultilevel"/>
    <w:tmpl w:val="5C9A0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10"/>
  </w:num>
  <w:num w:numId="5">
    <w:abstractNumId w:val="5"/>
  </w:num>
  <w:num w:numId="6">
    <w:abstractNumId w:val="1"/>
  </w:num>
  <w:num w:numId="7">
    <w:abstractNumId w:val="9"/>
  </w:num>
  <w:num w:numId="8">
    <w:abstractNumId w:val="8"/>
  </w:num>
  <w:num w:numId="9">
    <w:abstractNumId w:val="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defaultTabStop w:val="720"/>
  <w:drawingGridHorizontalSpacing w:val="120"/>
  <w:drawingGridVerticalSpacing w:val="2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809"/>
    <w:rsid w:val="00004560"/>
    <w:rsid w:val="000062EC"/>
    <w:rsid w:val="0000641A"/>
    <w:rsid w:val="00007024"/>
    <w:rsid w:val="00010F00"/>
    <w:rsid w:val="00012159"/>
    <w:rsid w:val="00012464"/>
    <w:rsid w:val="0002769C"/>
    <w:rsid w:val="0003039B"/>
    <w:rsid w:val="00041546"/>
    <w:rsid w:val="0004660B"/>
    <w:rsid w:val="000515B7"/>
    <w:rsid w:val="0005254F"/>
    <w:rsid w:val="0006085F"/>
    <w:rsid w:val="000617B4"/>
    <w:rsid w:val="00062616"/>
    <w:rsid w:val="00070B7F"/>
    <w:rsid w:val="00083D54"/>
    <w:rsid w:val="00084621"/>
    <w:rsid w:val="000A3410"/>
    <w:rsid w:val="000A7329"/>
    <w:rsid w:val="000B31BA"/>
    <w:rsid w:val="000B403B"/>
    <w:rsid w:val="000B55D0"/>
    <w:rsid w:val="000B5C2E"/>
    <w:rsid w:val="000B779A"/>
    <w:rsid w:val="000C3F7F"/>
    <w:rsid w:val="000D2C9A"/>
    <w:rsid w:val="000E5BCB"/>
    <w:rsid w:val="001275EF"/>
    <w:rsid w:val="00131129"/>
    <w:rsid w:val="00143BC1"/>
    <w:rsid w:val="0015698D"/>
    <w:rsid w:val="001622EE"/>
    <w:rsid w:val="001652B8"/>
    <w:rsid w:val="00183B6B"/>
    <w:rsid w:val="00186748"/>
    <w:rsid w:val="001914B2"/>
    <w:rsid w:val="00191E00"/>
    <w:rsid w:val="00194B4B"/>
    <w:rsid w:val="00197435"/>
    <w:rsid w:val="001B6975"/>
    <w:rsid w:val="001C10D6"/>
    <w:rsid w:val="001C2D81"/>
    <w:rsid w:val="001D2661"/>
    <w:rsid w:val="001D4DB3"/>
    <w:rsid w:val="001E79BC"/>
    <w:rsid w:val="001F1EA3"/>
    <w:rsid w:val="001F21A4"/>
    <w:rsid w:val="001F5B48"/>
    <w:rsid w:val="001F6ABD"/>
    <w:rsid w:val="00202A1A"/>
    <w:rsid w:val="00204E2D"/>
    <w:rsid w:val="00211454"/>
    <w:rsid w:val="00212DED"/>
    <w:rsid w:val="0022206F"/>
    <w:rsid w:val="002266CD"/>
    <w:rsid w:val="002364F5"/>
    <w:rsid w:val="0024103F"/>
    <w:rsid w:val="00241585"/>
    <w:rsid w:val="00246F6C"/>
    <w:rsid w:val="002475B8"/>
    <w:rsid w:val="002516E3"/>
    <w:rsid w:val="00255A21"/>
    <w:rsid w:val="0025797C"/>
    <w:rsid w:val="00272EE7"/>
    <w:rsid w:val="002803B8"/>
    <w:rsid w:val="00281471"/>
    <w:rsid w:val="0028432B"/>
    <w:rsid w:val="00291902"/>
    <w:rsid w:val="002A7F25"/>
    <w:rsid w:val="002B0B4C"/>
    <w:rsid w:val="002B3D3A"/>
    <w:rsid w:val="002C0FAD"/>
    <w:rsid w:val="002D592D"/>
    <w:rsid w:val="002D5E7B"/>
    <w:rsid w:val="002E4FFC"/>
    <w:rsid w:val="002F23D0"/>
    <w:rsid w:val="002F31F2"/>
    <w:rsid w:val="002F7063"/>
    <w:rsid w:val="00306646"/>
    <w:rsid w:val="00312647"/>
    <w:rsid w:val="00315017"/>
    <w:rsid w:val="00327AFA"/>
    <w:rsid w:val="0033690F"/>
    <w:rsid w:val="003400EC"/>
    <w:rsid w:val="00341421"/>
    <w:rsid w:val="003458C3"/>
    <w:rsid w:val="0035334A"/>
    <w:rsid w:val="003543E5"/>
    <w:rsid w:val="0037251A"/>
    <w:rsid w:val="00385B65"/>
    <w:rsid w:val="003A5F33"/>
    <w:rsid w:val="003B388D"/>
    <w:rsid w:val="003B5021"/>
    <w:rsid w:val="003B68AA"/>
    <w:rsid w:val="003C252E"/>
    <w:rsid w:val="003C2662"/>
    <w:rsid w:val="003C2921"/>
    <w:rsid w:val="003C5E6C"/>
    <w:rsid w:val="003F75C7"/>
    <w:rsid w:val="0040049C"/>
    <w:rsid w:val="00404C3E"/>
    <w:rsid w:val="004073AD"/>
    <w:rsid w:val="00410E22"/>
    <w:rsid w:val="004354A2"/>
    <w:rsid w:val="004413FF"/>
    <w:rsid w:val="00443DCA"/>
    <w:rsid w:val="00447057"/>
    <w:rsid w:val="004504D3"/>
    <w:rsid w:val="0045154C"/>
    <w:rsid w:val="00451A79"/>
    <w:rsid w:val="00453F2F"/>
    <w:rsid w:val="00467278"/>
    <w:rsid w:val="00470393"/>
    <w:rsid w:val="00476B97"/>
    <w:rsid w:val="00484744"/>
    <w:rsid w:val="00485033"/>
    <w:rsid w:val="00485DBF"/>
    <w:rsid w:val="00490470"/>
    <w:rsid w:val="00494772"/>
    <w:rsid w:val="004B2F44"/>
    <w:rsid w:val="004C43D5"/>
    <w:rsid w:val="004C4EAF"/>
    <w:rsid w:val="004D1BE0"/>
    <w:rsid w:val="004D5B43"/>
    <w:rsid w:val="004E0AC9"/>
    <w:rsid w:val="004E3A94"/>
    <w:rsid w:val="004F0677"/>
    <w:rsid w:val="004F428E"/>
    <w:rsid w:val="004F734B"/>
    <w:rsid w:val="005057DA"/>
    <w:rsid w:val="00506B15"/>
    <w:rsid w:val="005070AC"/>
    <w:rsid w:val="005076AB"/>
    <w:rsid w:val="00513DB3"/>
    <w:rsid w:val="00515CD3"/>
    <w:rsid w:val="00524454"/>
    <w:rsid w:val="00532EC7"/>
    <w:rsid w:val="00534C98"/>
    <w:rsid w:val="00541744"/>
    <w:rsid w:val="005452E5"/>
    <w:rsid w:val="00545F87"/>
    <w:rsid w:val="00547A41"/>
    <w:rsid w:val="0055552D"/>
    <w:rsid w:val="00561809"/>
    <w:rsid w:val="00572867"/>
    <w:rsid w:val="00575F83"/>
    <w:rsid w:val="00581366"/>
    <w:rsid w:val="00582F78"/>
    <w:rsid w:val="0058799A"/>
    <w:rsid w:val="0058799C"/>
    <w:rsid w:val="00590B56"/>
    <w:rsid w:val="0059105E"/>
    <w:rsid w:val="005940AE"/>
    <w:rsid w:val="005A4950"/>
    <w:rsid w:val="005A716F"/>
    <w:rsid w:val="005A77F7"/>
    <w:rsid w:val="005B2B2C"/>
    <w:rsid w:val="005C1A01"/>
    <w:rsid w:val="005D2127"/>
    <w:rsid w:val="005D35CE"/>
    <w:rsid w:val="005D4D7F"/>
    <w:rsid w:val="00600BEB"/>
    <w:rsid w:val="006022D0"/>
    <w:rsid w:val="00607A72"/>
    <w:rsid w:val="00616EA8"/>
    <w:rsid w:val="00617E68"/>
    <w:rsid w:val="0063290C"/>
    <w:rsid w:val="00633EF0"/>
    <w:rsid w:val="0063634F"/>
    <w:rsid w:val="0064013E"/>
    <w:rsid w:val="00641DA7"/>
    <w:rsid w:val="0064585E"/>
    <w:rsid w:val="006560D8"/>
    <w:rsid w:val="00660631"/>
    <w:rsid w:val="00665977"/>
    <w:rsid w:val="006713DB"/>
    <w:rsid w:val="00675291"/>
    <w:rsid w:val="00675851"/>
    <w:rsid w:val="00675E75"/>
    <w:rsid w:val="00684693"/>
    <w:rsid w:val="00691195"/>
    <w:rsid w:val="00692E6B"/>
    <w:rsid w:val="00694F92"/>
    <w:rsid w:val="006B485C"/>
    <w:rsid w:val="006B5635"/>
    <w:rsid w:val="006D26AC"/>
    <w:rsid w:val="006D78B4"/>
    <w:rsid w:val="006E4F4F"/>
    <w:rsid w:val="006E69F8"/>
    <w:rsid w:val="006F15F1"/>
    <w:rsid w:val="006F1A29"/>
    <w:rsid w:val="006F2453"/>
    <w:rsid w:val="006F62ED"/>
    <w:rsid w:val="006F6752"/>
    <w:rsid w:val="00701E03"/>
    <w:rsid w:val="007046B4"/>
    <w:rsid w:val="00711007"/>
    <w:rsid w:val="00712DE5"/>
    <w:rsid w:val="0071392B"/>
    <w:rsid w:val="00716ABD"/>
    <w:rsid w:val="00726A02"/>
    <w:rsid w:val="00735E07"/>
    <w:rsid w:val="007418FE"/>
    <w:rsid w:val="00741B07"/>
    <w:rsid w:val="0074216E"/>
    <w:rsid w:val="00742442"/>
    <w:rsid w:val="00743841"/>
    <w:rsid w:val="0074473C"/>
    <w:rsid w:val="00754704"/>
    <w:rsid w:val="007609B9"/>
    <w:rsid w:val="00767F91"/>
    <w:rsid w:val="007728F5"/>
    <w:rsid w:val="00774159"/>
    <w:rsid w:val="00781C29"/>
    <w:rsid w:val="00787B93"/>
    <w:rsid w:val="007936DF"/>
    <w:rsid w:val="0079387F"/>
    <w:rsid w:val="00796C26"/>
    <w:rsid w:val="007A303E"/>
    <w:rsid w:val="007A5E9E"/>
    <w:rsid w:val="007A72DA"/>
    <w:rsid w:val="007B5ADD"/>
    <w:rsid w:val="007C138D"/>
    <w:rsid w:val="007C3218"/>
    <w:rsid w:val="007C3E38"/>
    <w:rsid w:val="007C6522"/>
    <w:rsid w:val="007C7D6A"/>
    <w:rsid w:val="007D07E6"/>
    <w:rsid w:val="007D0A2F"/>
    <w:rsid w:val="007D144B"/>
    <w:rsid w:val="007D2B8A"/>
    <w:rsid w:val="007D4524"/>
    <w:rsid w:val="007D5201"/>
    <w:rsid w:val="00800D78"/>
    <w:rsid w:val="008011E5"/>
    <w:rsid w:val="00801294"/>
    <w:rsid w:val="00802BB5"/>
    <w:rsid w:val="008035D7"/>
    <w:rsid w:val="00805D2D"/>
    <w:rsid w:val="0080697E"/>
    <w:rsid w:val="00811320"/>
    <w:rsid w:val="00812332"/>
    <w:rsid w:val="00812CB6"/>
    <w:rsid w:val="008131C7"/>
    <w:rsid w:val="00814032"/>
    <w:rsid w:val="00825B60"/>
    <w:rsid w:val="00834099"/>
    <w:rsid w:val="00834C1E"/>
    <w:rsid w:val="00836245"/>
    <w:rsid w:val="00837587"/>
    <w:rsid w:val="0085265A"/>
    <w:rsid w:val="00857946"/>
    <w:rsid w:val="008608F5"/>
    <w:rsid w:val="00864406"/>
    <w:rsid w:val="00867943"/>
    <w:rsid w:val="0087042A"/>
    <w:rsid w:val="00885DE0"/>
    <w:rsid w:val="00886CA2"/>
    <w:rsid w:val="00890A48"/>
    <w:rsid w:val="0089169E"/>
    <w:rsid w:val="008931A8"/>
    <w:rsid w:val="008977F6"/>
    <w:rsid w:val="008A13C7"/>
    <w:rsid w:val="008B0C25"/>
    <w:rsid w:val="008B48D8"/>
    <w:rsid w:val="008B4F58"/>
    <w:rsid w:val="008B68DD"/>
    <w:rsid w:val="008D1404"/>
    <w:rsid w:val="008D2B70"/>
    <w:rsid w:val="008D4B1E"/>
    <w:rsid w:val="008D64F5"/>
    <w:rsid w:val="008E07BF"/>
    <w:rsid w:val="008E51ED"/>
    <w:rsid w:val="008F53BF"/>
    <w:rsid w:val="00901490"/>
    <w:rsid w:val="00901F35"/>
    <w:rsid w:val="00903104"/>
    <w:rsid w:val="00912CE6"/>
    <w:rsid w:val="00914EFB"/>
    <w:rsid w:val="00921120"/>
    <w:rsid w:val="00926FBA"/>
    <w:rsid w:val="009300C5"/>
    <w:rsid w:val="00932A25"/>
    <w:rsid w:val="00933D26"/>
    <w:rsid w:val="00944371"/>
    <w:rsid w:val="00947BCD"/>
    <w:rsid w:val="00947D74"/>
    <w:rsid w:val="00952A3E"/>
    <w:rsid w:val="0095364A"/>
    <w:rsid w:val="0096356C"/>
    <w:rsid w:val="009713AC"/>
    <w:rsid w:val="0097473B"/>
    <w:rsid w:val="0097473F"/>
    <w:rsid w:val="00976EB7"/>
    <w:rsid w:val="0098144E"/>
    <w:rsid w:val="009846D2"/>
    <w:rsid w:val="009850F0"/>
    <w:rsid w:val="00994A2E"/>
    <w:rsid w:val="00995295"/>
    <w:rsid w:val="009A008B"/>
    <w:rsid w:val="009A052E"/>
    <w:rsid w:val="009A0738"/>
    <w:rsid w:val="009E16D9"/>
    <w:rsid w:val="009E3ADC"/>
    <w:rsid w:val="009F376F"/>
    <w:rsid w:val="009F5E6F"/>
    <w:rsid w:val="009F6709"/>
    <w:rsid w:val="00A02AD4"/>
    <w:rsid w:val="00A21105"/>
    <w:rsid w:val="00A3226E"/>
    <w:rsid w:val="00A32BEE"/>
    <w:rsid w:val="00A37973"/>
    <w:rsid w:val="00A501FF"/>
    <w:rsid w:val="00A54259"/>
    <w:rsid w:val="00A614F3"/>
    <w:rsid w:val="00A65DA2"/>
    <w:rsid w:val="00A72770"/>
    <w:rsid w:val="00A765CF"/>
    <w:rsid w:val="00A76A5D"/>
    <w:rsid w:val="00A8493B"/>
    <w:rsid w:val="00A9116F"/>
    <w:rsid w:val="00A93A35"/>
    <w:rsid w:val="00A94BFC"/>
    <w:rsid w:val="00A95605"/>
    <w:rsid w:val="00A95B93"/>
    <w:rsid w:val="00A95ED7"/>
    <w:rsid w:val="00AA108F"/>
    <w:rsid w:val="00AA2013"/>
    <w:rsid w:val="00AA7FFC"/>
    <w:rsid w:val="00AB27BB"/>
    <w:rsid w:val="00AB35AC"/>
    <w:rsid w:val="00AB457E"/>
    <w:rsid w:val="00AC1D54"/>
    <w:rsid w:val="00AE066B"/>
    <w:rsid w:val="00B03399"/>
    <w:rsid w:val="00B04E5C"/>
    <w:rsid w:val="00B0678A"/>
    <w:rsid w:val="00B1014F"/>
    <w:rsid w:val="00B124BB"/>
    <w:rsid w:val="00B307B5"/>
    <w:rsid w:val="00B34402"/>
    <w:rsid w:val="00B35D09"/>
    <w:rsid w:val="00B368FD"/>
    <w:rsid w:val="00B5684A"/>
    <w:rsid w:val="00B5737A"/>
    <w:rsid w:val="00B61B4C"/>
    <w:rsid w:val="00B66851"/>
    <w:rsid w:val="00B766AD"/>
    <w:rsid w:val="00BA2933"/>
    <w:rsid w:val="00BA65D7"/>
    <w:rsid w:val="00BB3BA7"/>
    <w:rsid w:val="00BB61A1"/>
    <w:rsid w:val="00BB79B0"/>
    <w:rsid w:val="00BC051C"/>
    <w:rsid w:val="00BC3C0C"/>
    <w:rsid w:val="00BC7CC5"/>
    <w:rsid w:val="00BD2163"/>
    <w:rsid w:val="00BD3A27"/>
    <w:rsid w:val="00BD3E3C"/>
    <w:rsid w:val="00BE0766"/>
    <w:rsid w:val="00BE660F"/>
    <w:rsid w:val="00BF1637"/>
    <w:rsid w:val="00BF7507"/>
    <w:rsid w:val="00C00E31"/>
    <w:rsid w:val="00C04F85"/>
    <w:rsid w:val="00C106BA"/>
    <w:rsid w:val="00C14F57"/>
    <w:rsid w:val="00C162AF"/>
    <w:rsid w:val="00C16419"/>
    <w:rsid w:val="00C16DC7"/>
    <w:rsid w:val="00C23FA9"/>
    <w:rsid w:val="00C37DB8"/>
    <w:rsid w:val="00C40897"/>
    <w:rsid w:val="00C45498"/>
    <w:rsid w:val="00C4597F"/>
    <w:rsid w:val="00C5021B"/>
    <w:rsid w:val="00C55E0E"/>
    <w:rsid w:val="00C714FA"/>
    <w:rsid w:val="00C71F8D"/>
    <w:rsid w:val="00C732CB"/>
    <w:rsid w:val="00C74358"/>
    <w:rsid w:val="00C93004"/>
    <w:rsid w:val="00C946E1"/>
    <w:rsid w:val="00C967FA"/>
    <w:rsid w:val="00CA3951"/>
    <w:rsid w:val="00CA5523"/>
    <w:rsid w:val="00CA787B"/>
    <w:rsid w:val="00CB598F"/>
    <w:rsid w:val="00CC5520"/>
    <w:rsid w:val="00CC623D"/>
    <w:rsid w:val="00CC62DF"/>
    <w:rsid w:val="00CC659F"/>
    <w:rsid w:val="00CD1AAC"/>
    <w:rsid w:val="00CD5986"/>
    <w:rsid w:val="00CE164C"/>
    <w:rsid w:val="00CE6616"/>
    <w:rsid w:val="00CE75EB"/>
    <w:rsid w:val="00CF6DD2"/>
    <w:rsid w:val="00D07C43"/>
    <w:rsid w:val="00D16A12"/>
    <w:rsid w:val="00D26741"/>
    <w:rsid w:val="00D302A4"/>
    <w:rsid w:val="00D346F5"/>
    <w:rsid w:val="00D34A54"/>
    <w:rsid w:val="00D407C3"/>
    <w:rsid w:val="00D41608"/>
    <w:rsid w:val="00D665AD"/>
    <w:rsid w:val="00D73E1B"/>
    <w:rsid w:val="00D84152"/>
    <w:rsid w:val="00D84CA7"/>
    <w:rsid w:val="00D87924"/>
    <w:rsid w:val="00DB2140"/>
    <w:rsid w:val="00DB43D5"/>
    <w:rsid w:val="00DB5328"/>
    <w:rsid w:val="00DC1057"/>
    <w:rsid w:val="00DC1E64"/>
    <w:rsid w:val="00DC3136"/>
    <w:rsid w:val="00DC6AC0"/>
    <w:rsid w:val="00DD1AC5"/>
    <w:rsid w:val="00DD3248"/>
    <w:rsid w:val="00DD401C"/>
    <w:rsid w:val="00DD7C93"/>
    <w:rsid w:val="00DE056A"/>
    <w:rsid w:val="00DE4915"/>
    <w:rsid w:val="00DE63F5"/>
    <w:rsid w:val="00DE681A"/>
    <w:rsid w:val="00DF0696"/>
    <w:rsid w:val="00DF424C"/>
    <w:rsid w:val="00E03B64"/>
    <w:rsid w:val="00E06EC9"/>
    <w:rsid w:val="00E17042"/>
    <w:rsid w:val="00E17296"/>
    <w:rsid w:val="00E20482"/>
    <w:rsid w:val="00E21F93"/>
    <w:rsid w:val="00E23A61"/>
    <w:rsid w:val="00E305D7"/>
    <w:rsid w:val="00E53B14"/>
    <w:rsid w:val="00E545C2"/>
    <w:rsid w:val="00E71D1C"/>
    <w:rsid w:val="00E71F85"/>
    <w:rsid w:val="00E80819"/>
    <w:rsid w:val="00E81C47"/>
    <w:rsid w:val="00E95341"/>
    <w:rsid w:val="00E966A5"/>
    <w:rsid w:val="00E9785F"/>
    <w:rsid w:val="00EA1E79"/>
    <w:rsid w:val="00EA709D"/>
    <w:rsid w:val="00ED5394"/>
    <w:rsid w:val="00EE1114"/>
    <w:rsid w:val="00EF33E3"/>
    <w:rsid w:val="00EF47EB"/>
    <w:rsid w:val="00EF7152"/>
    <w:rsid w:val="00EF7645"/>
    <w:rsid w:val="00F020E7"/>
    <w:rsid w:val="00F02236"/>
    <w:rsid w:val="00F13759"/>
    <w:rsid w:val="00F14538"/>
    <w:rsid w:val="00F15747"/>
    <w:rsid w:val="00F22C46"/>
    <w:rsid w:val="00F24F0C"/>
    <w:rsid w:val="00F24F4E"/>
    <w:rsid w:val="00F25796"/>
    <w:rsid w:val="00F27C1A"/>
    <w:rsid w:val="00F27D92"/>
    <w:rsid w:val="00F33755"/>
    <w:rsid w:val="00F421E0"/>
    <w:rsid w:val="00F42F42"/>
    <w:rsid w:val="00F45B96"/>
    <w:rsid w:val="00F50424"/>
    <w:rsid w:val="00F66208"/>
    <w:rsid w:val="00F75A3B"/>
    <w:rsid w:val="00F8348D"/>
    <w:rsid w:val="00F93C52"/>
    <w:rsid w:val="00F943C6"/>
    <w:rsid w:val="00F94590"/>
    <w:rsid w:val="00FA05F5"/>
    <w:rsid w:val="00FA6C25"/>
    <w:rsid w:val="00FC18A7"/>
    <w:rsid w:val="00FC2431"/>
    <w:rsid w:val="00FC2E98"/>
    <w:rsid w:val="00FC5D1D"/>
    <w:rsid w:val="00FF4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58E1C"/>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543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1809"/>
    <w:rPr>
      <w:lang w:val="en-GB"/>
    </w:rPr>
  </w:style>
  <w:style w:type="character" w:styleId="FootnoteReference">
    <w:name w:val="footnote reference"/>
    <w:basedOn w:val="DefaultParagraphFont"/>
    <w:uiPriority w:val="99"/>
    <w:unhideWhenUsed/>
    <w:rsid w:val="00561809"/>
    <w:rPr>
      <w:vertAlign w:val="superscript"/>
    </w:rPr>
  </w:style>
  <w:style w:type="paragraph" w:styleId="FootnoteText">
    <w:name w:val="footnote text"/>
    <w:aliases w:val="Footnote ak,fn,Footnotes,ft,fn cafc,Footnote Text Char1,fn Char Char,footnote text Char Char,Footnotes Char Char,Footnote ak Char Char,Footnote Text Char2,Footnote Text Char1 Char1,Footnote Text Char Char C,Char"/>
    <w:basedOn w:val="Normal"/>
    <w:link w:val="FootnoteTextChar"/>
    <w:uiPriority w:val="99"/>
    <w:unhideWhenUsed/>
    <w:rsid w:val="00561809"/>
  </w:style>
  <w:style w:type="character" w:customStyle="1" w:styleId="FootnoteTextChar">
    <w:name w:val="Footnote Text Char"/>
    <w:aliases w:val="Footnote ak Char,fn Char,Footnotes Char,ft Char,fn cafc Char,Footnote Text Char1 Char,fn Char Char Char,footnote text Char Char Char,Footnotes Char Char Char,Footnote ak Char Char Char,Footnote Text Char2 Char,Char Char"/>
    <w:basedOn w:val="DefaultParagraphFont"/>
    <w:link w:val="FootnoteText"/>
    <w:uiPriority w:val="99"/>
    <w:rsid w:val="00561809"/>
  </w:style>
  <w:style w:type="character" w:styleId="CommentReference">
    <w:name w:val="annotation reference"/>
    <w:basedOn w:val="DefaultParagraphFont"/>
    <w:uiPriority w:val="99"/>
    <w:semiHidden/>
    <w:unhideWhenUsed/>
    <w:rsid w:val="00561809"/>
    <w:rPr>
      <w:sz w:val="16"/>
      <w:szCs w:val="16"/>
    </w:rPr>
  </w:style>
  <w:style w:type="paragraph" w:styleId="CommentText">
    <w:name w:val="annotation text"/>
    <w:basedOn w:val="Normal"/>
    <w:link w:val="CommentTextChar"/>
    <w:uiPriority w:val="99"/>
    <w:unhideWhenUsed/>
    <w:rsid w:val="00561809"/>
    <w:pPr>
      <w:spacing w:after="200"/>
    </w:pPr>
    <w:rPr>
      <w:rFonts w:eastAsiaTheme="minorHAnsi"/>
      <w:sz w:val="20"/>
      <w:szCs w:val="20"/>
      <w:lang w:val="en-GB" w:eastAsia="en-US"/>
    </w:rPr>
  </w:style>
  <w:style w:type="character" w:customStyle="1" w:styleId="CommentTextChar">
    <w:name w:val="Comment Text Char"/>
    <w:basedOn w:val="DefaultParagraphFont"/>
    <w:link w:val="CommentText"/>
    <w:uiPriority w:val="99"/>
    <w:rsid w:val="00561809"/>
    <w:rPr>
      <w:rFonts w:eastAsiaTheme="minorHAnsi"/>
      <w:sz w:val="20"/>
      <w:szCs w:val="20"/>
      <w:lang w:val="en-GB" w:eastAsia="en-US"/>
    </w:rPr>
  </w:style>
  <w:style w:type="paragraph" w:styleId="BalloonText">
    <w:name w:val="Balloon Text"/>
    <w:basedOn w:val="Normal"/>
    <w:link w:val="BalloonTextChar"/>
    <w:uiPriority w:val="99"/>
    <w:semiHidden/>
    <w:unhideWhenUsed/>
    <w:rsid w:val="00561809"/>
    <w:rPr>
      <w:rFonts w:ascii="Segoe UI" w:eastAsiaTheme="minorHAnsi" w:hAnsi="Segoe UI" w:cs="Segoe UI"/>
      <w:sz w:val="18"/>
      <w:szCs w:val="18"/>
      <w:lang w:val="en-GB" w:eastAsia="en-US"/>
    </w:rPr>
  </w:style>
  <w:style w:type="character" w:customStyle="1" w:styleId="BalloonTextChar">
    <w:name w:val="Balloon Text Char"/>
    <w:basedOn w:val="DefaultParagraphFont"/>
    <w:link w:val="BalloonText"/>
    <w:uiPriority w:val="99"/>
    <w:semiHidden/>
    <w:rsid w:val="00561809"/>
    <w:rPr>
      <w:rFonts w:ascii="Segoe UI" w:eastAsiaTheme="minorHAnsi" w:hAnsi="Segoe UI" w:cs="Segoe UI"/>
      <w:sz w:val="18"/>
      <w:szCs w:val="18"/>
      <w:lang w:val="en-GB" w:eastAsia="en-US"/>
    </w:rPr>
  </w:style>
  <w:style w:type="paragraph" w:styleId="ListParagraph">
    <w:name w:val="List Paragraph"/>
    <w:basedOn w:val="Normal"/>
    <w:uiPriority w:val="34"/>
    <w:qFormat/>
    <w:rsid w:val="00561809"/>
    <w:pPr>
      <w:spacing w:after="160" w:line="259" w:lineRule="auto"/>
      <w:ind w:left="720"/>
      <w:contextualSpacing/>
    </w:pPr>
    <w:rPr>
      <w:rFonts w:eastAsiaTheme="minorHAnsi"/>
      <w:sz w:val="22"/>
      <w:szCs w:val="22"/>
      <w:lang w:val="en-GB" w:eastAsia="en-US"/>
    </w:rPr>
  </w:style>
  <w:style w:type="paragraph" w:styleId="CommentSubject">
    <w:name w:val="annotation subject"/>
    <w:basedOn w:val="CommentText"/>
    <w:next w:val="CommentText"/>
    <w:link w:val="CommentSubjectChar"/>
    <w:uiPriority w:val="99"/>
    <w:semiHidden/>
    <w:unhideWhenUsed/>
    <w:rsid w:val="00561809"/>
    <w:pPr>
      <w:spacing w:after="160"/>
    </w:pPr>
    <w:rPr>
      <w:b/>
      <w:bCs/>
    </w:rPr>
  </w:style>
  <w:style w:type="character" w:customStyle="1" w:styleId="CommentSubjectChar">
    <w:name w:val="Comment Subject Char"/>
    <w:basedOn w:val="CommentTextChar"/>
    <w:link w:val="CommentSubject"/>
    <w:uiPriority w:val="99"/>
    <w:semiHidden/>
    <w:rsid w:val="00561809"/>
    <w:rPr>
      <w:rFonts w:eastAsiaTheme="minorHAnsi"/>
      <w:b/>
      <w:bCs/>
      <w:sz w:val="20"/>
      <w:szCs w:val="20"/>
      <w:lang w:val="en-GB" w:eastAsia="en-US"/>
    </w:rPr>
  </w:style>
  <w:style w:type="paragraph" w:customStyle="1" w:styleId="00DictateNoTable">
    <w:name w:val="00 Dictate No Table"/>
    <w:basedOn w:val="Normal"/>
    <w:uiPriority w:val="99"/>
    <w:rsid w:val="00561809"/>
    <w:pPr>
      <w:autoSpaceDE w:val="0"/>
      <w:autoSpaceDN w:val="0"/>
      <w:adjustRightInd w:val="0"/>
      <w:ind w:left="1440" w:hanging="1440"/>
    </w:pPr>
    <w:rPr>
      <w:rFonts w:ascii="Calibri" w:eastAsiaTheme="minorHAnsi" w:hAnsi="Calibri" w:cs="Calibri"/>
      <w:lang w:val="en-GB" w:eastAsia="en-US"/>
    </w:rPr>
  </w:style>
  <w:style w:type="paragraph" w:styleId="Revision">
    <w:name w:val="Revision"/>
    <w:hidden/>
    <w:uiPriority w:val="99"/>
    <w:semiHidden/>
    <w:rsid w:val="00561809"/>
    <w:rPr>
      <w:rFonts w:eastAsiaTheme="minorHAnsi"/>
      <w:sz w:val="22"/>
      <w:szCs w:val="22"/>
      <w:lang w:val="en-GB" w:eastAsia="en-US"/>
    </w:rPr>
  </w:style>
  <w:style w:type="paragraph" w:styleId="Footer">
    <w:name w:val="footer"/>
    <w:basedOn w:val="Normal"/>
    <w:link w:val="FooterChar"/>
    <w:uiPriority w:val="99"/>
    <w:unhideWhenUsed/>
    <w:rsid w:val="00410E22"/>
    <w:pPr>
      <w:tabs>
        <w:tab w:val="center" w:pos="4513"/>
        <w:tab w:val="right" w:pos="9026"/>
      </w:tabs>
    </w:pPr>
  </w:style>
  <w:style w:type="character" w:customStyle="1" w:styleId="FooterChar">
    <w:name w:val="Footer Char"/>
    <w:basedOn w:val="DefaultParagraphFont"/>
    <w:link w:val="Footer"/>
    <w:uiPriority w:val="99"/>
    <w:rsid w:val="00410E22"/>
  </w:style>
  <w:style w:type="character" w:styleId="PageNumber">
    <w:name w:val="page number"/>
    <w:basedOn w:val="DefaultParagraphFont"/>
    <w:uiPriority w:val="99"/>
    <w:semiHidden/>
    <w:unhideWhenUsed/>
    <w:rsid w:val="00410E22"/>
  </w:style>
  <w:style w:type="table" w:styleId="TableGrid">
    <w:name w:val="Table Grid"/>
    <w:basedOn w:val="TableNormal"/>
    <w:uiPriority w:val="39"/>
    <w:rsid w:val="00410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54A2"/>
    <w:pPr>
      <w:tabs>
        <w:tab w:val="center" w:pos="4513"/>
        <w:tab w:val="right" w:pos="9026"/>
      </w:tabs>
    </w:pPr>
  </w:style>
  <w:style w:type="character" w:customStyle="1" w:styleId="HeaderChar">
    <w:name w:val="Header Char"/>
    <w:basedOn w:val="DefaultParagraphFont"/>
    <w:link w:val="Header"/>
    <w:uiPriority w:val="99"/>
    <w:rsid w:val="004354A2"/>
  </w:style>
  <w:style w:type="character" w:styleId="Hyperlink">
    <w:name w:val="Hyperlink"/>
    <w:basedOn w:val="DefaultParagraphFont"/>
    <w:uiPriority w:val="99"/>
    <w:unhideWhenUsed/>
    <w:rsid w:val="00EE11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8993">
      <w:bodyDiv w:val="1"/>
      <w:marLeft w:val="0"/>
      <w:marRight w:val="0"/>
      <w:marTop w:val="0"/>
      <w:marBottom w:val="0"/>
      <w:divBdr>
        <w:top w:val="none" w:sz="0" w:space="0" w:color="auto"/>
        <w:left w:val="none" w:sz="0" w:space="0" w:color="auto"/>
        <w:bottom w:val="none" w:sz="0" w:space="0" w:color="auto"/>
        <w:right w:val="none" w:sz="0" w:space="0" w:color="auto"/>
      </w:divBdr>
    </w:div>
    <w:div w:id="798453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65B96-3667-E944-BE9B-703785314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25</Pages>
  <Words>9511</Words>
  <Characters>54218</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63602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Yong</dc:creator>
  <cp:lastModifiedBy>Ben Yong</cp:lastModifiedBy>
  <cp:revision>127</cp:revision>
  <dcterms:created xsi:type="dcterms:W3CDTF">2018-07-27T08:27:00Z</dcterms:created>
  <dcterms:modified xsi:type="dcterms:W3CDTF">2018-12-21T12:52:00Z</dcterms:modified>
</cp:coreProperties>
</file>