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1122"/>
        <w:gridCol w:w="4278"/>
      </w:tblGrid>
      <w:tr>
        <w:trPr>
          <w:trHeight w:val="51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0000"/>
                <w:sz w:val="20"/>
              </w:rPr>
            </w:pPr>
            <w:r>
              <w:rPr>
                <w:rFonts w:ascii="Arial" w:hAnsi="Arial" w:eastAsia="Arial"/>
                <w:b w:val="on"/>
                <w:color w:val="#000000"/>
                <w:sz w:val="20"/>
              </w:rPr>
              <w:t xml:space="preserve">Participant Number:</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Q2: Action</w:t>
            </w: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301</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302</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51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303</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friends have got message and find safest route to get out of area</w:t>
            </w:r>
          </w:p>
        </w:tc>
      </w:tr>
      <w:tr>
        <w:trPr>
          <w:trHeight w:val="51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304</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website and </w:t>
            </w:r>
            <w:r>
              <w:rPr>
                <w:rFonts w:ascii="Arial" w:hAnsi="Arial" w:eastAsia="Arial"/>
                <w:color w:val="#000000"/>
                <w:sz w:val="20"/>
                <w:shd w:val="clear" w:fill="#EEE8AA"/>
              </w:rPr>
              <w:t xml:space="preserve">get cats into cages first before collecting other things </w:t>
            </w:r>
          </w:p>
        </w:tc>
      </w:tr>
      <w:tr>
        <w:trPr>
          <w:trHeight w:val="229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305</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the link to see how in danger I was depending on area, check social media, make a plan with other half re what we’re going to do with daughter. Hard to say what I would do after this without knowing timescales and certainty.  Check facebook if had time to see what friends were doing. Some decision making would be informed by what friends and family are doing around you. </w:t>
            </w:r>
          </w:p>
        </w:tc>
      </w:tr>
      <w:tr>
        <w:trPr>
          <w:trHeight w:val="127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306</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Follow the link to find out, ideally with a map to see where flooding is expected and how severe.  </w:t>
            </w:r>
            <w:r>
              <w:rPr>
                <w:rFonts w:ascii="Arial" w:hAnsi="Arial" w:eastAsia="Arial"/>
                <w:color w:val="#000000"/>
                <w:sz w:val="20"/>
                <w:shd w:val="clear" w:fill="#EEE8AA"/>
              </w:rPr>
              <w:t xml:space="preserve">Need to think if driving looking at the best route avoiding collisions and traffic. </w:t>
            </w: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307</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308</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76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309</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Make sure have everything needed in case of evac check website rather than call and check with people around </w:t>
            </w:r>
          </w:p>
        </w:tc>
      </w:tr>
      <w:tr>
        <w:trPr>
          <w:trHeight w:val="102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310</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Initially panic, then look at link then check anyone in the area without a mobile phone (grandparents) and check severity</w:t>
            </w: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311</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312</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102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313</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shd w:val="clear" w:fill="#EEE8AA"/>
              </w:rPr>
              <w:t xml:space="preserve">Try to figure out where to go and how to be safe</w:t>
            </w:r>
            <w:r>
              <w:rPr>
                <w:rFonts w:ascii="Arial" w:hAnsi="Arial" w:eastAsia="Arial"/>
                <w:color w:val="#000000"/>
                <w:sz w:val="20"/>
              </w:rPr>
              <w:t xml:space="preserve">, called Floodline if I can’t and </w:t>
            </w:r>
            <w:r>
              <w:rPr>
                <w:rFonts w:ascii="Arial" w:hAnsi="Arial" w:eastAsia="Arial"/>
                <w:color w:val="#000000"/>
                <w:sz w:val="20"/>
                <w:shd w:val="clear" w:fill="#EEE8AA"/>
              </w:rPr>
              <w:t xml:space="preserve">pack essentials things that can’t be replaced</w:t>
            </w: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314</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153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315</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Family not in Hull but would still contact them first to let them know they’re ok and not worry - then add in group chat as only driver to plan a time to pick up.  Also put a note on costa door (where she works) to make sure those without a phone are aware.  </w:t>
            </w:r>
          </w:p>
        </w:tc>
      </w:tr>
      <w:tr>
        <w:trPr>
          <w:trHeight w:val="510"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316</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family members and same building, get belongings and somewhere safe </w:t>
            </w: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317</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318</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319</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Search any info on internet call family and friends to see if they had heard about it and check </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320</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321</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322</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323</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Follow link and communicate family members to make sure they’re aware depending on area </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324</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325</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326</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Follow the link to find out where, then maybe let people know if needed</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327</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Work out where to go for more information</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328</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Google to see what news was reporting about it and work out where to go </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329</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Pack clothes and elec toothbrush and go inland or to a hill (Sutton Village) turn elec and gas off  </w:t>
            </w: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330</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315" w:hRule="atLeast"/>
        </w:trPr>
        <w:tc>
          <w:tcPr>
            <w:tcW w:w="1122"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331</w:t>
            </w:r>
          </w:p>
        </w:tc>
        <w:tc>
          <w:tcPr>
            <w:tcW w:w="4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bookmarkStart w:id="0" w:name="_GoBack"/>
      <w:bookmarkEnd w:id="0"/>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