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0F2F1" w14:textId="1BBC9F2B" w:rsidR="00402F04" w:rsidRPr="00CC62FC" w:rsidRDefault="005462A2" w:rsidP="000D0777">
      <w:pPr>
        <w:jc w:val="center"/>
        <w:rPr>
          <w:rFonts w:cs="Arial"/>
          <w:b/>
          <w:bCs/>
          <w:szCs w:val="24"/>
          <w:u w:val="single"/>
        </w:rPr>
      </w:pPr>
      <w:r w:rsidRPr="00CC62FC">
        <w:rPr>
          <w:rFonts w:cs="Arial"/>
          <w:b/>
          <w:bCs/>
          <w:szCs w:val="24"/>
          <w:u w:val="single"/>
        </w:rPr>
        <w:t>Trans</w:t>
      </w:r>
      <w:r w:rsidR="000D0777">
        <w:rPr>
          <w:rFonts w:cs="Arial"/>
          <w:b/>
          <w:bCs/>
          <w:szCs w:val="24"/>
          <w:u w:val="single"/>
        </w:rPr>
        <w:t>gender</w:t>
      </w:r>
      <w:r w:rsidRPr="00CC62FC">
        <w:rPr>
          <w:rFonts w:cs="Arial"/>
          <w:b/>
          <w:bCs/>
          <w:szCs w:val="24"/>
          <w:u w:val="single"/>
        </w:rPr>
        <w:t xml:space="preserve"> inclusivity in UK humanities and social sciences teaching: student perceptions</w:t>
      </w:r>
      <w:r w:rsidR="00D72A02" w:rsidRPr="00CC62FC">
        <w:rPr>
          <w:rStyle w:val="FootnoteReference"/>
          <w:rFonts w:cs="Arial"/>
          <w:b/>
          <w:bCs/>
          <w:szCs w:val="24"/>
          <w:u w:val="single"/>
        </w:rPr>
        <w:footnoteReference w:id="1"/>
      </w:r>
    </w:p>
    <w:p w14:paraId="31F4B76F" w14:textId="77777777" w:rsidR="00EC670E" w:rsidRPr="00CC62FC" w:rsidRDefault="00EC670E" w:rsidP="0099797D">
      <w:pPr>
        <w:jc w:val="center"/>
        <w:rPr>
          <w:rFonts w:cs="Arial"/>
          <w:szCs w:val="24"/>
        </w:rPr>
      </w:pPr>
    </w:p>
    <w:p w14:paraId="7D8BEB10" w14:textId="21018D18" w:rsidR="005462A2" w:rsidRPr="00CC62FC" w:rsidRDefault="005462A2" w:rsidP="0099797D">
      <w:pPr>
        <w:jc w:val="center"/>
        <w:rPr>
          <w:rFonts w:cs="Arial"/>
          <w:szCs w:val="24"/>
        </w:rPr>
      </w:pPr>
      <w:r w:rsidRPr="00CC62FC">
        <w:rPr>
          <w:rFonts w:cs="Arial"/>
          <w:szCs w:val="24"/>
        </w:rPr>
        <w:t>Dr Catherine Baker</w:t>
      </w:r>
    </w:p>
    <w:p w14:paraId="69A60458" w14:textId="538EA57D" w:rsidR="005462A2" w:rsidRDefault="005462A2" w:rsidP="0099797D">
      <w:pPr>
        <w:jc w:val="center"/>
        <w:rPr>
          <w:rFonts w:cs="Arial"/>
          <w:szCs w:val="24"/>
        </w:rPr>
      </w:pPr>
      <w:r w:rsidRPr="00CC62FC">
        <w:rPr>
          <w:rFonts w:cs="Arial"/>
          <w:szCs w:val="24"/>
        </w:rPr>
        <w:t>University of Hull</w:t>
      </w:r>
    </w:p>
    <w:p w14:paraId="6A37E085" w14:textId="77777777" w:rsidR="00CC62FC" w:rsidRDefault="00CC62FC" w:rsidP="0099797D">
      <w:pPr>
        <w:jc w:val="center"/>
        <w:rPr>
          <w:rFonts w:cs="Arial"/>
          <w:szCs w:val="24"/>
        </w:rPr>
      </w:pPr>
    </w:p>
    <w:p w14:paraId="7CAD39D6" w14:textId="77303AA0" w:rsidR="00CC62FC" w:rsidRDefault="00CC62FC" w:rsidP="0099797D">
      <w:pPr>
        <w:jc w:val="center"/>
        <w:rPr>
          <w:rFonts w:cs="Arial"/>
          <w:szCs w:val="24"/>
        </w:rPr>
      </w:pPr>
      <w:r>
        <w:rPr>
          <w:rFonts w:cs="Arial"/>
          <w:szCs w:val="24"/>
        </w:rPr>
        <w:t>Working Paper</w:t>
      </w:r>
    </w:p>
    <w:p w14:paraId="1C90B9AF" w14:textId="1045F3FB" w:rsidR="00CC62FC" w:rsidRPr="00CC62FC" w:rsidRDefault="00CC62FC" w:rsidP="0099797D">
      <w:pPr>
        <w:jc w:val="center"/>
        <w:rPr>
          <w:rFonts w:cs="Arial"/>
          <w:szCs w:val="24"/>
        </w:rPr>
      </w:pPr>
      <w:r>
        <w:rPr>
          <w:rFonts w:cs="Arial"/>
          <w:szCs w:val="24"/>
        </w:rPr>
        <w:t>June 2016</w:t>
      </w:r>
    </w:p>
    <w:p w14:paraId="7BC5ADB5" w14:textId="77777777" w:rsidR="005462A2" w:rsidRPr="00CC62FC" w:rsidRDefault="005462A2">
      <w:pPr>
        <w:rPr>
          <w:rFonts w:cs="Arial"/>
          <w:szCs w:val="24"/>
        </w:rPr>
      </w:pPr>
    </w:p>
    <w:p w14:paraId="4D10003D" w14:textId="77777777" w:rsidR="005462A2" w:rsidRPr="00CC62FC" w:rsidRDefault="005462A2" w:rsidP="003D5BCF">
      <w:pPr>
        <w:rPr>
          <w:rFonts w:cs="Arial"/>
          <w:b/>
          <w:bCs/>
          <w:szCs w:val="24"/>
        </w:rPr>
      </w:pPr>
      <w:r w:rsidRPr="00CC62FC">
        <w:rPr>
          <w:rFonts w:cs="Arial"/>
          <w:b/>
          <w:bCs/>
          <w:szCs w:val="24"/>
        </w:rPr>
        <w:t>Summary</w:t>
      </w:r>
    </w:p>
    <w:p w14:paraId="47B8F069" w14:textId="77777777" w:rsidR="005462A2" w:rsidRPr="00CC62FC" w:rsidRDefault="005462A2" w:rsidP="003D5BCF">
      <w:pPr>
        <w:rPr>
          <w:rFonts w:cs="Arial"/>
          <w:b/>
          <w:bCs/>
          <w:szCs w:val="24"/>
        </w:rPr>
      </w:pPr>
    </w:p>
    <w:p w14:paraId="61575319" w14:textId="38A8E317" w:rsidR="005462A2" w:rsidRPr="00CC62FC" w:rsidRDefault="00910FBD" w:rsidP="00910FBD">
      <w:pPr>
        <w:pStyle w:val="ListParagraph"/>
        <w:numPr>
          <w:ilvl w:val="0"/>
          <w:numId w:val="3"/>
        </w:numPr>
        <w:jc w:val="left"/>
        <w:rPr>
          <w:rFonts w:cs="Arial"/>
          <w:szCs w:val="24"/>
        </w:rPr>
      </w:pPr>
      <w:r>
        <w:rPr>
          <w:rFonts w:cs="Arial"/>
          <w:szCs w:val="24"/>
        </w:rPr>
        <w:t>Trans people’s i</w:t>
      </w:r>
      <w:r w:rsidR="005462A2" w:rsidRPr="00CC62FC">
        <w:rPr>
          <w:rFonts w:cs="Arial"/>
          <w:szCs w:val="24"/>
        </w:rPr>
        <w:t>dentities, experiences and histories are rarely integrated into humanities and social sciences teaching</w:t>
      </w:r>
    </w:p>
    <w:p w14:paraId="6323FD84" w14:textId="421CBA6E" w:rsidR="00CC62FC" w:rsidRPr="00CC62FC" w:rsidRDefault="00CC62FC" w:rsidP="00910FBD">
      <w:pPr>
        <w:pStyle w:val="ListParagraph"/>
        <w:numPr>
          <w:ilvl w:val="0"/>
          <w:numId w:val="3"/>
        </w:numPr>
        <w:jc w:val="left"/>
        <w:rPr>
          <w:rFonts w:cs="Arial"/>
          <w:szCs w:val="24"/>
        </w:rPr>
      </w:pPr>
      <w:r w:rsidRPr="00CC62FC">
        <w:rPr>
          <w:rFonts w:cs="Arial"/>
          <w:szCs w:val="24"/>
        </w:rPr>
        <w:t>In 2015–16 I carried out exploratory research about UK students’ accounts of how well their curriculum had included trans topics</w:t>
      </w:r>
    </w:p>
    <w:p w14:paraId="399A3788" w14:textId="6328D5F7" w:rsidR="0099797D" w:rsidRDefault="0099797D" w:rsidP="00910FBD">
      <w:pPr>
        <w:pStyle w:val="ListParagraph"/>
        <w:numPr>
          <w:ilvl w:val="0"/>
          <w:numId w:val="3"/>
        </w:numPr>
        <w:jc w:val="left"/>
        <w:rPr>
          <w:rFonts w:cs="Arial"/>
          <w:szCs w:val="24"/>
        </w:rPr>
      </w:pPr>
      <w:r w:rsidRPr="00CC62FC">
        <w:rPr>
          <w:rFonts w:cs="Arial"/>
          <w:szCs w:val="24"/>
        </w:rPr>
        <w:t>Trans identities and experiences should</w:t>
      </w:r>
      <w:r w:rsidR="000D0777">
        <w:rPr>
          <w:rFonts w:cs="Arial"/>
          <w:szCs w:val="24"/>
        </w:rPr>
        <w:t xml:space="preserve"> also</w:t>
      </w:r>
      <w:r w:rsidRPr="00CC62FC">
        <w:rPr>
          <w:rFonts w:cs="Arial"/>
          <w:szCs w:val="24"/>
        </w:rPr>
        <w:t xml:space="preserve"> be incorporated into teaching </w:t>
      </w:r>
      <w:r w:rsidR="00CC62FC" w:rsidRPr="00CC62FC">
        <w:rPr>
          <w:rFonts w:cs="Arial"/>
          <w:szCs w:val="24"/>
        </w:rPr>
        <w:t xml:space="preserve">other </w:t>
      </w:r>
      <w:r w:rsidRPr="00CC62FC">
        <w:rPr>
          <w:rFonts w:cs="Arial"/>
          <w:szCs w:val="24"/>
        </w:rPr>
        <w:t>topics</w:t>
      </w:r>
      <w:r w:rsidR="00CC62FC" w:rsidRPr="00CC62FC">
        <w:rPr>
          <w:rFonts w:cs="Arial"/>
          <w:szCs w:val="24"/>
        </w:rPr>
        <w:t xml:space="preserve"> </w:t>
      </w:r>
    </w:p>
    <w:p w14:paraId="5F5364E3" w14:textId="3E595154" w:rsidR="000D0777" w:rsidRPr="00CC62FC" w:rsidRDefault="000D0777" w:rsidP="000D0777">
      <w:pPr>
        <w:pStyle w:val="ListParagraph"/>
        <w:numPr>
          <w:ilvl w:val="0"/>
          <w:numId w:val="3"/>
        </w:numPr>
        <w:jc w:val="left"/>
        <w:rPr>
          <w:rFonts w:cs="Arial"/>
          <w:szCs w:val="24"/>
        </w:rPr>
      </w:pPr>
      <w:r>
        <w:rPr>
          <w:rFonts w:cs="Arial"/>
          <w:szCs w:val="24"/>
        </w:rPr>
        <w:t>Teaching about gender variance should include genders beyond the male/female gender binary (non-binary genders)</w:t>
      </w:r>
    </w:p>
    <w:p w14:paraId="3B73DC8C" w14:textId="272C3C6D" w:rsidR="0019098A" w:rsidRPr="00CC62FC" w:rsidRDefault="0019098A" w:rsidP="000D0777">
      <w:pPr>
        <w:pStyle w:val="ListParagraph"/>
        <w:numPr>
          <w:ilvl w:val="0"/>
          <w:numId w:val="3"/>
        </w:numPr>
        <w:jc w:val="left"/>
        <w:rPr>
          <w:rFonts w:cs="Arial"/>
          <w:szCs w:val="24"/>
        </w:rPr>
      </w:pPr>
      <w:r w:rsidRPr="00CC62FC">
        <w:rPr>
          <w:rFonts w:cs="Arial"/>
          <w:szCs w:val="24"/>
        </w:rPr>
        <w:t>Programme des</w:t>
      </w:r>
      <w:bookmarkStart w:id="0" w:name="_GoBack"/>
      <w:bookmarkEnd w:id="0"/>
      <w:r w:rsidRPr="00CC62FC">
        <w:rPr>
          <w:rFonts w:cs="Arial"/>
          <w:szCs w:val="24"/>
        </w:rPr>
        <w:t xml:space="preserve">igners should </w:t>
      </w:r>
      <w:r>
        <w:rPr>
          <w:rFonts w:cs="Arial"/>
          <w:szCs w:val="24"/>
        </w:rPr>
        <w:t xml:space="preserve">ensure that programmes deliver </w:t>
      </w:r>
      <w:r w:rsidRPr="00CC62FC">
        <w:rPr>
          <w:rFonts w:cs="Arial"/>
          <w:szCs w:val="24"/>
        </w:rPr>
        <w:t>foundational knowledge about gender id</w:t>
      </w:r>
      <w:r>
        <w:rPr>
          <w:rFonts w:cs="Arial"/>
          <w:szCs w:val="24"/>
        </w:rPr>
        <w:t>entity beyond the gender binary, to support trans</w:t>
      </w:r>
      <w:r w:rsidR="000D0777">
        <w:rPr>
          <w:rFonts w:cs="Arial"/>
          <w:szCs w:val="24"/>
        </w:rPr>
        <w:t xml:space="preserve"> </w:t>
      </w:r>
      <w:r>
        <w:rPr>
          <w:rFonts w:cs="Arial"/>
          <w:szCs w:val="24"/>
        </w:rPr>
        <w:t>coverage in individual modules</w:t>
      </w:r>
    </w:p>
    <w:p w14:paraId="1CEBD665" w14:textId="6716DEE3" w:rsidR="005462A2" w:rsidRPr="00CC62FC" w:rsidRDefault="005462A2" w:rsidP="000D0777">
      <w:pPr>
        <w:pStyle w:val="ListParagraph"/>
        <w:numPr>
          <w:ilvl w:val="0"/>
          <w:numId w:val="3"/>
        </w:numPr>
        <w:jc w:val="left"/>
        <w:rPr>
          <w:rFonts w:cs="Arial"/>
          <w:szCs w:val="24"/>
        </w:rPr>
      </w:pPr>
      <w:r w:rsidRPr="00CC62FC">
        <w:rPr>
          <w:rFonts w:cs="Arial"/>
          <w:szCs w:val="24"/>
        </w:rPr>
        <w:t xml:space="preserve">University libraries should be proactive in acquiring up-to-date readings on trans topics </w:t>
      </w:r>
    </w:p>
    <w:p w14:paraId="28351C13" w14:textId="16BF5452" w:rsidR="0099797D" w:rsidRPr="00CC62FC" w:rsidRDefault="0099797D" w:rsidP="0099797D">
      <w:pPr>
        <w:pStyle w:val="ListParagraph"/>
        <w:numPr>
          <w:ilvl w:val="0"/>
          <w:numId w:val="3"/>
        </w:numPr>
        <w:jc w:val="left"/>
        <w:rPr>
          <w:rFonts w:cs="Arial"/>
          <w:szCs w:val="24"/>
        </w:rPr>
      </w:pPr>
      <w:r w:rsidRPr="00CC62FC">
        <w:rPr>
          <w:rFonts w:cs="Arial"/>
          <w:szCs w:val="24"/>
        </w:rPr>
        <w:t xml:space="preserve">Poorly-informed or </w:t>
      </w:r>
      <w:proofErr w:type="spellStart"/>
      <w:r w:rsidRPr="00CC62FC">
        <w:rPr>
          <w:rFonts w:cs="Arial"/>
          <w:szCs w:val="24"/>
        </w:rPr>
        <w:t>transphobic</w:t>
      </w:r>
      <w:proofErr w:type="spellEnd"/>
      <w:r w:rsidRPr="00CC62FC">
        <w:rPr>
          <w:rFonts w:cs="Arial"/>
          <w:szCs w:val="24"/>
        </w:rPr>
        <w:t xml:space="preserve"> classroom management can undermine any ‘inclusiveness’ designed into the curriculum</w:t>
      </w:r>
    </w:p>
    <w:p w14:paraId="1E75580B" w14:textId="7D8F6893" w:rsidR="0099797D" w:rsidRPr="00CC62FC" w:rsidRDefault="0099797D" w:rsidP="0099797D">
      <w:pPr>
        <w:pStyle w:val="ListParagraph"/>
        <w:numPr>
          <w:ilvl w:val="0"/>
          <w:numId w:val="3"/>
        </w:numPr>
        <w:jc w:val="left"/>
        <w:rPr>
          <w:rFonts w:cs="Arial"/>
          <w:szCs w:val="24"/>
        </w:rPr>
      </w:pPr>
      <w:r w:rsidRPr="00CC62FC">
        <w:rPr>
          <w:rFonts w:cs="Arial"/>
          <w:szCs w:val="24"/>
        </w:rPr>
        <w:t xml:space="preserve">Universities must take decisive action against </w:t>
      </w:r>
      <w:proofErr w:type="spellStart"/>
      <w:r w:rsidRPr="00CC62FC">
        <w:rPr>
          <w:rFonts w:cs="Arial"/>
          <w:szCs w:val="24"/>
        </w:rPr>
        <w:t>transphobic</w:t>
      </w:r>
      <w:proofErr w:type="spellEnd"/>
      <w:r w:rsidRPr="00CC62FC">
        <w:rPr>
          <w:rFonts w:cs="Arial"/>
          <w:szCs w:val="24"/>
        </w:rPr>
        <w:t xml:space="preserve"> harassment by students or staff</w:t>
      </w:r>
    </w:p>
    <w:p w14:paraId="480B0212" w14:textId="581601E4" w:rsidR="00CC62FC" w:rsidRPr="00CC62FC" w:rsidRDefault="00CC62FC" w:rsidP="000D0777">
      <w:pPr>
        <w:pStyle w:val="ListParagraph"/>
        <w:numPr>
          <w:ilvl w:val="0"/>
          <w:numId w:val="3"/>
        </w:numPr>
        <w:jc w:val="left"/>
        <w:rPr>
          <w:rFonts w:cs="Arial"/>
          <w:szCs w:val="24"/>
        </w:rPr>
      </w:pPr>
      <w:r w:rsidRPr="00CC62FC">
        <w:rPr>
          <w:rFonts w:cs="Arial"/>
          <w:szCs w:val="24"/>
        </w:rPr>
        <w:t xml:space="preserve">For inclusivity to be meaningful, universities should remove access barriers that trans students </w:t>
      </w:r>
      <w:r w:rsidR="000D0777">
        <w:rPr>
          <w:rFonts w:cs="Arial"/>
          <w:szCs w:val="24"/>
        </w:rPr>
        <w:t xml:space="preserve">may </w:t>
      </w:r>
      <w:r w:rsidRPr="00CC62FC">
        <w:rPr>
          <w:rFonts w:cs="Arial"/>
          <w:szCs w:val="24"/>
        </w:rPr>
        <w:t>encounter in student services and administration, and help them mitigate wider access barriers</w:t>
      </w:r>
    </w:p>
    <w:p w14:paraId="0A3C55EC" w14:textId="77777777" w:rsidR="005462A2" w:rsidRPr="00CC62FC" w:rsidRDefault="005462A2" w:rsidP="003D5BCF">
      <w:pPr>
        <w:rPr>
          <w:rFonts w:cs="Arial"/>
          <w:b/>
          <w:bCs/>
          <w:szCs w:val="24"/>
        </w:rPr>
      </w:pPr>
    </w:p>
    <w:p w14:paraId="568DCE53" w14:textId="1249D293" w:rsidR="003A5C51" w:rsidRPr="00CC62FC" w:rsidRDefault="001F52C3" w:rsidP="00AE0AF5">
      <w:pPr>
        <w:rPr>
          <w:rFonts w:cs="Arial"/>
          <w:b/>
          <w:bCs/>
          <w:szCs w:val="24"/>
        </w:rPr>
      </w:pPr>
      <w:r>
        <w:rPr>
          <w:rFonts w:cs="Arial"/>
          <w:b/>
          <w:bCs/>
          <w:szCs w:val="24"/>
        </w:rPr>
        <w:t xml:space="preserve">1. </w:t>
      </w:r>
      <w:r w:rsidR="003A5C51" w:rsidRPr="00CC62FC">
        <w:rPr>
          <w:rFonts w:cs="Arial"/>
          <w:b/>
          <w:bCs/>
          <w:szCs w:val="24"/>
        </w:rPr>
        <w:t xml:space="preserve">Introduction </w:t>
      </w:r>
    </w:p>
    <w:p w14:paraId="0FE6BF72" w14:textId="77777777" w:rsidR="003A5C51" w:rsidRPr="00CC62FC" w:rsidRDefault="003A5C51" w:rsidP="003D5BCF">
      <w:pPr>
        <w:rPr>
          <w:rFonts w:cs="Arial"/>
          <w:szCs w:val="24"/>
        </w:rPr>
      </w:pPr>
    </w:p>
    <w:p w14:paraId="54EB8817" w14:textId="77777777" w:rsidR="005462A2" w:rsidRDefault="004374DE" w:rsidP="005462A2">
      <w:pPr>
        <w:rPr>
          <w:rFonts w:cs="Arial"/>
          <w:szCs w:val="20"/>
        </w:rPr>
      </w:pPr>
      <w:r w:rsidRPr="00CC62FC">
        <w:rPr>
          <w:rFonts w:cs="Arial"/>
          <w:szCs w:val="24"/>
        </w:rPr>
        <w:t xml:space="preserve">Transgender equality – ensuring that no person is </w:t>
      </w:r>
      <w:r w:rsidR="00D72A02" w:rsidRPr="00CC62FC">
        <w:rPr>
          <w:rFonts w:cs="Arial"/>
          <w:szCs w:val="24"/>
        </w:rPr>
        <w:t xml:space="preserve">directly or indirectly </w:t>
      </w:r>
      <w:r w:rsidRPr="00CC62FC">
        <w:rPr>
          <w:rFonts w:cs="Arial"/>
          <w:szCs w:val="24"/>
        </w:rPr>
        <w:t xml:space="preserve">discriminated against </w:t>
      </w:r>
      <w:r w:rsidR="00100706" w:rsidRPr="00CC62FC">
        <w:rPr>
          <w:rFonts w:cs="Arial"/>
          <w:szCs w:val="24"/>
        </w:rPr>
        <w:t>because their gender identity differs from the gender they were assigned at birth –</w:t>
      </w:r>
      <w:r w:rsidR="00375175" w:rsidRPr="00CC62FC">
        <w:rPr>
          <w:rFonts w:cs="Arial"/>
          <w:szCs w:val="24"/>
        </w:rPr>
        <w:t xml:space="preserve"> has become</w:t>
      </w:r>
      <w:r w:rsidR="005462A2" w:rsidRPr="00CC62FC">
        <w:rPr>
          <w:rFonts w:cs="Arial"/>
          <w:szCs w:val="24"/>
        </w:rPr>
        <w:t xml:space="preserve"> a matter of public interest </w:t>
      </w:r>
      <w:r w:rsidR="00100706" w:rsidRPr="00CC62FC">
        <w:rPr>
          <w:rFonts w:cs="Arial"/>
          <w:szCs w:val="24"/>
        </w:rPr>
        <w:t xml:space="preserve">after </w:t>
      </w:r>
      <w:r w:rsidR="00375175" w:rsidRPr="00CC62FC">
        <w:rPr>
          <w:rFonts w:cs="Arial"/>
          <w:szCs w:val="24"/>
        </w:rPr>
        <w:t xml:space="preserve">decades </w:t>
      </w:r>
      <w:r w:rsidR="00100706" w:rsidRPr="00CC62FC">
        <w:rPr>
          <w:rFonts w:cs="Arial"/>
          <w:szCs w:val="24"/>
        </w:rPr>
        <w:t xml:space="preserve">of struggle </w:t>
      </w:r>
      <w:r w:rsidR="00375175" w:rsidRPr="00CC62FC">
        <w:rPr>
          <w:rFonts w:cs="Arial"/>
          <w:szCs w:val="24"/>
        </w:rPr>
        <w:t xml:space="preserve">by </w:t>
      </w:r>
      <w:proofErr w:type="gramStart"/>
      <w:r w:rsidR="00375175" w:rsidRPr="00CC62FC">
        <w:rPr>
          <w:rFonts w:cs="Arial"/>
          <w:szCs w:val="24"/>
        </w:rPr>
        <w:t>trans</w:t>
      </w:r>
      <w:proofErr w:type="gramEnd"/>
      <w:r w:rsidR="00375175" w:rsidRPr="00CC62FC">
        <w:rPr>
          <w:rFonts w:cs="Arial"/>
          <w:szCs w:val="24"/>
        </w:rPr>
        <w:t xml:space="preserve"> activists in many countries including the UK (</w:t>
      </w:r>
      <w:r w:rsidR="001E1F38" w:rsidRPr="00CC62FC">
        <w:rPr>
          <w:rFonts w:cs="Arial"/>
          <w:szCs w:val="24"/>
        </w:rPr>
        <w:t xml:space="preserve">Whittle 2006; </w:t>
      </w:r>
      <w:r w:rsidR="00375175" w:rsidRPr="00CC62FC">
        <w:rPr>
          <w:rFonts w:cs="Arial"/>
          <w:szCs w:val="24"/>
        </w:rPr>
        <w:t>Stryker 2008</w:t>
      </w:r>
      <w:r w:rsidR="00B56B55" w:rsidRPr="00CC62FC">
        <w:rPr>
          <w:rFonts w:cs="Arial"/>
          <w:szCs w:val="24"/>
        </w:rPr>
        <w:t>; Connell 2012</w:t>
      </w:r>
      <w:r w:rsidR="005462A2" w:rsidRPr="00CC62FC">
        <w:rPr>
          <w:rFonts w:cs="Arial"/>
          <w:szCs w:val="24"/>
        </w:rPr>
        <w:t>)</w:t>
      </w:r>
      <w:r w:rsidR="00375175" w:rsidRPr="00CC62FC">
        <w:rPr>
          <w:rFonts w:cs="Arial"/>
          <w:szCs w:val="24"/>
        </w:rPr>
        <w:t xml:space="preserve">. Alongside the implications of the so-called ‘transgender tipping point’ </w:t>
      </w:r>
      <w:r w:rsidR="00FE03E4" w:rsidRPr="00CC62FC">
        <w:rPr>
          <w:rFonts w:cs="Arial"/>
          <w:szCs w:val="24"/>
        </w:rPr>
        <w:t xml:space="preserve">(Steinmetz 2014) </w:t>
      </w:r>
      <w:r w:rsidR="001E1F38" w:rsidRPr="00CC62FC">
        <w:rPr>
          <w:rFonts w:cs="Arial"/>
          <w:szCs w:val="24"/>
        </w:rPr>
        <w:t xml:space="preserve">or sudden public visibility of </w:t>
      </w:r>
      <w:r w:rsidR="00FE03E4" w:rsidRPr="00CC62FC">
        <w:rPr>
          <w:rFonts w:cs="Arial"/>
          <w:szCs w:val="24"/>
        </w:rPr>
        <w:t xml:space="preserve">trans people and trans politics </w:t>
      </w:r>
      <w:r w:rsidR="00375175" w:rsidRPr="00CC62FC">
        <w:rPr>
          <w:rFonts w:cs="Arial"/>
          <w:szCs w:val="24"/>
        </w:rPr>
        <w:t xml:space="preserve">for particular disciplines, which all face wider </w:t>
      </w:r>
      <w:proofErr w:type="gramStart"/>
      <w:r w:rsidR="00375175" w:rsidRPr="00CC62FC">
        <w:rPr>
          <w:rFonts w:cs="Arial"/>
          <w:szCs w:val="24"/>
        </w:rPr>
        <w:t>opportunities</w:t>
      </w:r>
      <w:proofErr w:type="gramEnd"/>
      <w:r w:rsidR="00375175" w:rsidRPr="00CC62FC">
        <w:rPr>
          <w:rFonts w:cs="Arial"/>
          <w:szCs w:val="24"/>
        </w:rPr>
        <w:t xml:space="preserve"> to incorporate gender variance and its cultural and material contexts into their teaching</w:t>
      </w:r>
      <w:r w:rsidR="00EC1CFF" w:rsidRPr="00CC62FC">
        <w:rPr>
          <w:rFonts w:cs="Arial"/>
          <w:szCs w:val="24"/>
        </w:rPr>
        <w:t xml:space="preserve"> (</w:t>
      </w:r>
      <w:r w:rsidR="007950A6" w:rsidRPr="00CC62FC">
        <w:rPr>
          <w:rFonts w:cs="Arial"/>
          <w:szCs w:val="24"/>
        </w:rPr>
        <w:t xml:space="preserve">Boucher 2011; </w:t>
      </w:r>
      <w:r w:rsidR="00EC1CFF" w:rsidRPr="00CC62FC">
        <w:rPr>
          <w:rFonts w:cs="Arial"/>
          <w:szCs w:val="24"/>
        </w:rPr>
        <w:t>Matthews-Jones 2015)</w:t>
      </w:r>
      <w:r w:rsidR="00375175" w:rsidRPr="00CC62FC">
        <w:rPr>
          <w:rFonts w:cs="Arial"/>
          <w:szCs w:val="24"/>
        </w:rPr>
        <w:t>, UK universities have been under a legal duty to prevent discrimination against (some) trans people (in certain circumstances) since gender reassignment was included as a protected characteristic in the Equalities Act 2010</w:t>
      </w:r>
      <w:r w:rsidR="00D72A02" w:rsidRPr="00CC62FC">
        <w:rPr>
          <w:rFonts w:cs="Arial"/>
          <w:szCs w:val="24"/>
        </w:rPr>
        <w:t xml:space="preserve"> (applicable in England, Wales and Scotland but not Northern Ireland)</w:t>
      </w:r>
      <w:r w:rsidR="00375175" w:rsidRPr="00CC62FC">
        <w:rPr>
          <w:rFonts w:cs="Arial"/>
          <w:szCs w:val="24"/>
        </w:rPr>
        <w:t xml:space="preserve">. This has implications for all areas of university provision – including support and welfare services, </w:t>
      </w:r>
      <w:r w:rsidR="00375175" w:rsidRPr="00CC62FC">
        <w:rPr>
          <w:rFonts w:cs="Arial"/>
          <w:szCs w:val="24"/>
        </w:rPr>
        <w:lastRenderedPageBreak/>
        <w:t xml:space="preserve">student records, and estates – but also for the curriculum itself, as the government Equality Challenge Unit recognised when recommending that universities should, at the very least, check that curricula do not </w:t>
      </w:r>
      <w:r w:rsidR="00375175" w:rsidRPr="00CC62FC">
        <w:rPr>
          <w:rFonts w:cs="Arial"/>
          <w:szCs w:val="20"/>
        </w:rPr>
        <w:t xml:space="preserve">‘rely on or reinforce stereotypical assumptions about trans people’ or ‘contain </w:t>
      </w:r>
      <w:proofErr w:type="spellStart"/>
      <w:r w:rsidR="00375175" w:rsidRPr="00CC62FC">
        <w:rPr>
          <w:rFonts w:cs="Arial"/>
          <w:szCs w:val="20"/>
        </w:rPr>
        <w:t>transphobic</w:t>
      </w:r>
      <w:proofErr w:type="spellEnd"/>
      <w:r w:rsidR="00375175" w:rsidRPr="00CC62FC">
        <w:rPr>
          <w:rFonts w:cs="Arial"/>
          <w:szCs w:val="20"/>
        </w:rPr>
        <w:t xml:space="preserve"> material’ (Pugh 2010: 40).</w:t>
      </w:r>
      <w:r w:rsidR="003D5BCF" w:rsidRPr="00CC62FC">
        <w:rPr>
          <w:rFonts w:cs="Arial"/>
          <w:szCs w:val="20"/>
        </w:rPr>
        <w:t xml:space="preserve"> </w:t>
      </w:r>
      <w:r w:rsidR="005462A2" w:rsidRPr="00CC62FC">
        <w:rPr>
          <w:rFonts w:cs="Arial"/>
          <w:szCs w:val="20"/>
        </w:rPr>
        <w:t>This</w:t>
      </w:r>
      <w:r w:rsidR="003D5BCF" w:rsidRPr="00CC62FC">
        <w:rPr>
          <w:rFonts w:cs="Arial"/>
          <w:szCs w:val="20"/>
        </w:rPr>
        <w:t xml:space="preserve"> would be a minimum requirement to satisfy a legal duty. </w:t>
      </w:r>
    </w:p>
    <w:p w14:paraId="2154FAD9" w14:textId="77777777" w:rsidR="00AE0AF5" w:rsidRDefault="00AE0AF5" w:rsidP="00AE0AF5">
      <w:pPr>
        <w:rPr>
          <w:rFonts w:cs="Arial"/>
          <w:szCs w:val="20"/>
        </w:rPr>
      </w:pPr>
    </w:p>
    <w:p w14:paraId="29FFF175" w14:textId="462E36B1" w:rsidR="00594A11" w:rsidRDefault="003D5BCF" w:rsidP="00AE0AF5">
      <w:pPr>
        <w:rPr>
          <w:rFonts w:cs="Arial"/>
          <w:szCs w:val="20"/>
        </w:rPr>
      </w:pPr>
      <w:r w:rsidRPr="00CC62FC">
        <w:rPr>
          <w:rFonts w:cs="Arial"/>
          <w:szCs w:val="20"/>
        </w:rPr>
        <w:t xml:space="preserve">More transformative perspectives on achieving equality through curriculum design would </w:t>
      </w:r>
      <w:r w:rsidR="005462A2" w:rsidRPr="00CC62FC">
        <w:rPr>
          <w:rFonts w:cs="Arial"/>
          <w:szCs w:val="20"/>
        </w:rPr>
        <w:t>go further</w:t>
      </w:r>
      <w:r w:rsidR="00AE0AF5">
        <w:rPr>
          <w:rFonts w:cs="Arial"/>
          <w:szCs w:val="20"/>
        </w:rPr>
        <w:t xml:space="preserve"> than this</w:t>
      </w:r>
      <w:r w:rsidR="005462A2" w:rsidRPr="00CC62FC">
        <w:rPr>
          <w:rFonts w:cs="Arial"/>
          <w:szCs w:val="20"/>
        </w:rPr>
        <w:t xml:space="preserve">. They would </w:t>
      </w:r>
      <w:r w:rsidRPr="00CC62FC">
        <w:rPr>
          <w:rFonts w:cs="Arial"/>
          <w:szCs w:val="20"/>
        </w:rPr>
        <w:t xml:space="preserve">imply actively redeveloping the curriculum in ways that positively recognise trans people and their experiences, include people who are not necessarily covered by the gender reassignment provisions of the Equalities Act (such as people with non-binary gender identities who may or may not define themselves as trans), </w:t>
      </w:r>
      <w:r w:rsidR="00A42E39" w:rsidRPr="00CC62FC">
        <w:rPr>
          <w:rFonts w:cs="Arial"/>
          <w:szCs w:val="20"/>
        </w:rPr>
        <w:t xml:space="preserve">and challenge structural </w:t>
      </w:r>
      <w:proofErr w:type="spellStart"/>
      <w:r w:rsidR="00A42E39" w:rsidRPr="00CC62FC">
        <w:rPr>
          <w:rFonts w:cs="Arial"/>
          <w:szCs w:val="20"/>
        </w:rPr>
        <w:t>transphobia</w:t>
      </w:r>
      <w:proofErr w:type="spellEnd"/>
      <w:r w:rsidR="00A42E39" w:rsidRPr="00CC62FC">
        <w:rPr>
          <w:rFonts w:cs="Arial"/>
          <w:szCs w:val="20"/>
        </w:rPr>
        <w:t xml:space="preserve"> and ‘</w:t>
      </w:r>
      <w:proofErr w:type="spellStart"/>
      <w:r w:rsidR="00A42E39" w:rsidRPr="00CC62FC">
        <w:rPr>
          <w:rFonts w:cs="Arial"/>
          <w:szCs w:val="20"/>
        </w:rPr>
        <w:t>cissexism</w:t>
      </w:r>
      <w:proofErr w:type="spellEnd"/>
      <w:r w:rsidR="00A42E39" w:rsidRPr="00CC62FC">
        <w:rPr>
          <w:rFonts w:cs="Arial"/>
          <w:szCs w:val="20"/>
        </w:rPr>
        <w:t xml:space="preserve">’ </w:t>
      </w:r>
      <w:r w:rsidR="00FE03E4" w:rsidRPr="00CC62FC">
        <w:rPr>
          <w:rFonts w:cs="Arial"/>
          <w:szCs w:val="20"/>
        </w:rPr>
        <w:t>(</w:t>
      </w:r>
      <w:proofErr w:type="spellStart"/>
      <w:r w:rsidR="00FE03E4" w:rsidRPr="00CC62FC">
        <w:rPr>
          <w:rFonts w:cs="Arial"/>
          <w:szCs w:val="20"/>
        </w:rPr>
        <w:t>Serano</w:t>
      </w:r>
      <w:proofErr w:type="spellEnd"/>
      <w:r w:rsidR="00FE03E4" w:rsidRPr="00CC62FC">
        <w:rPr>
          <w:rFonts w:cs="Arial"/>
          <w:szCs w:val="20"/>
        </w:rPr>
        <w:t xml:space="preserve"> 2007: 12–13) </w:t>
      </w:r>
      <w:r w:rsidR="00A42E39" w:rsidRPr="00CC62FC">
        <w:rPr>
          <w:rFonts w:cs="Arial"/>
          <w:szCs w:val="20"/>
        </w:rPr>
        <w:t>or ‘</w:t>
      </w:r>
      <w:proofErr w:type="spellStart"/>
      <w:r w:rsidR="00A42E39" w:rsidRPr="00CC62FC">
        <w:rPr>
          <w:rFonts w:cs="Arial"/>
          <w:szCs w:val="20"/>
        </w:rPr>
        <w:t>cisnormativity</w:t>
      </w:r>
      <w:proofErr w:type="spellEnd"/>
      <w:r w:rsidR="00A42E39" w:rsidRPr="00CC62FC">
        <w:rPr>
          <w:rFonts w:cs="Arial"/>
          <w:szCs w:val="20"/>
        </w:rPr>
        <w:t xml:space="preserve">’ </w:t>
      </w:r>
      <w:r w:rsidR="00FE03E4" w:rsidRPr="00CC62FC">
        <w:rPr>
          <w:rFonts w:cs="Arial"/>
          <w:szCs w:val="20"/>
        </w:rPr>
        <w:t xml:space="preserve">(Bauer et al. 2009: 356) </w:t>
      </w:r>
      <w:r w:rsidR="00A42E39" w:rsidRPr="00CC62FC">
        <w:rPr>
          <w:rFonts w:cs="Arial"/>
          <w:szCs w:val="20"/>
        </w:rPr>
        <w:t>in society.</w:t>
      </w:r>
      <w:r w:rsidR="00FE03E4" w:rsidRPr="00CC62FC">
        <w:rPr>
          <w:rStyle w:val="FootnoteReference"/>
          <w:rFonts w:cs="Arial"/>
          <w:szCs w:val="20"/>
        </w:rPr>
        <w:footnoteReference w:id="2"/>
      </w:r>
      <w:r w:rsidR="00A42E39" w:rsidRPr="00CC62FC">
        <w:rPr>
          <w:rFonts w:cs="Arial"/>
          <w:szCs w:val="20"/>
        </w:rPr>
        <w:t xml:space="preserve"> Indeed, the ECU’s own research on LGBT staff and student experiences in </w:t>
      </w:r>
      <w:r w:rsidR="00AE0AF5">
        <w:rPr>
          <w:rFonts w:cs="Arial"/>
          <w:szCs w:val="20"/>
        </w:rPr>
        <w:t>higher education</w:t>
      </w:r>
      <w:r w:rsidR="00A42E39" w:rsidRPr="00CC62FC">
        <w:rPr>
          <w:rFonts w:cs="Arial"/>
          <w:szCs w:val="20"/>
        </w:rPr>
        <w:t xml:space="preserve"> before the Equalities Act came into force (led by the feminist geographer Gill Valentine) showed that LGBT students valued LGBT, including trans, ‘examples or materials’ being used in teaching (Valentine, Wood and Plummer 2009: 38). </w:t>
      </w:r>
    </w:p>
    <w:p w14:paraId="3B0A9DD0" w14:textId="77777777" w:rsidR="00AE0AF5" w:rsidRPr="00CC62FC" w:rsidRDefault="00AE0AF5" w:rsidP="005462A2">
      <w:pPr>
        <w:ind w:firstLine="284"/>
        <w:rPr>
          <w:rFonts w:cs="Arial"/>
          <w:szCs w:val="20"/>
        </w:rPr>
      </w:pPr>
    </w:p>
    <w:p w14:paraId="0E6B4521" w14:textId="519173DA" w:rsidR="00147D75" w:rsidRDefault="00A42E39" w:rsidP="00910FBD">
      <w:pPr>
        <w:rPr>
          <w:rFonts w:cs="Arial"/>
          <w:szCs w:val="20"/>
        </w:rPr>
      </w:pPr>
      <w:r w:rsidRPr="00CC62FC">
        <w:rPr>
          <w:rFonts w:cs="Arial"/>
          <w:szCs w:val="20"/>
        </w:rPr>
        <w:t xml:space="preserve">Understanding trans identities and experiences is, however, often more challenging </w:t>
      </w:r>
      <w:r w:rsidR="00594A11" w:rsidRPr="00CC62FC">
        <w:rPr>
          <w:rFonts w:cs="Arial"/>
          <w:szCs w:val="20"/>
        </w:rPr>
        <w:t xml:space="preserve">for cisgender (non-transgender) people </w:t>
      </w:r>
      <w:r w:rsidRPr="00CC62FC">
        <w:rPr>
          <w:rFonts w:cs="Arial"/>
          <w:szCs w:val="20"/>
        </w:rPr>
        <w:t>than understanding the diversity of sexual orientation</w:t>
      </w:r>
      <w:r w:rsidR="00594A11" w:rsidRPr="00CC62FC">
        <w:rPr>
          <w:rFonts w:cs="Arial"/>
          <w:szCs w:val="20"/>
        </w:rPr>
        <w:t xml:space="preserve"> is for straight people, because it requires </w:t>
      </w:r>
      <w:r w:rsidRPr="00CC62FC">
        <w:rPr>
          <w:rFonts w:cs="Arial"/>
          <w:szCs w:val="20"/>
        </w:rPr>
        <w:t xml:space="preserve">unlearning the biological determinism of gender (i.e. understanding that the gender someone is assigned at birth based on genitalia does not necessarily correspond to their gender identity) </w:t>
      </w:r>
      <w:r w:rsidR="00A84F65" w:rsidRPr="00CC62FC">
        <w:rPr>
          <w:rFonts w:cs="Arial"/>
          <w:szCs w:val="20"/>
        </w:rPr>
        <w:t xml:space="preserve">as well as being able to perceive forms of structural marginalisation that they do not personally experience. These are ‘threshold concepts’ which, true to Jan Meyer and Ray Land’s definition, represent transformed ways of understanding ‘without which the learner cannot progress’ (Meyer and Land 2003: 1). </w:t>
      </w:r>
      <w:r w:rsidR="000B5834">
        <w:rPr>
          <w:rFonts w:cs="Arial"/>
          <w:szCs w:val="20"/>
        </w:rPr>
        <w:t xml:space="preserve">For many </w:t>
      </w:r>
      <w:proofErr w:type="spellStart"/>
      <w:r w:rsidR="000B5834">
        <w:rPr>
          <w:rFonts w:cs="Arial"/>
          <w:szCs w:val="20"/>
        </w:rPr>
        <w:t>cis</w:t>
      </w:r>
      <w:proofErr w:type="spellEnd"/>
      <w:r w:rsidR="000B5834">
        <w:rPr>
          <w:rFonts w:cs="Arial"/>
          <w:szCs w:val="20"/>
        </w:rPr>
        <w:t xml:space="preserve"> students, teaching and learning about </w:t>
      </w:r>
      <w:proofErr w:type="gramStart"/>
      <w:r w:rsidR="000B5834">
        <w:rPr>
          <w:rFonts w:cs="Arial"/>
          <w:szCs w:val="20"/>
        </w:rPr>
        <w:t>trans</w:t>
      </w:r>
      <w:proofErr w:type="gramEnd"/>
      <w:r w:rsidR="000B5834">
        <w:rPr>
          <w:rFonts w:cs="Arial"/>
          <w:szCs w:val="20"/>
        </w:rPr>
        <w:t xml:space="preserve"> topics would involve a foundational rethinking of their ideas about gender and comprehension of concepts and terminology they have not encountered before. </w:t>
      </w:r>
    </w:p>
    <w:p w14:paraId="0E2A052A" w14:textId="77777777" w:rsidR="00147D75" w:rsidRDefault="00147D75" w:rsidP="00147D75">
      <w:pPr>
        <w:rPr>
          <w:rFonts w:cs="Arial"/>
          <w:szCs w:val="20"/>
        </w:rPr>
      </w:pPr>
    </w:p>
    <w:p w14:paraId="5EDDB0FD" w14:textId="7894CE3D" w:rsidR="000B5834" w:rsidRDefault="00147D75" w:rsidP="00910FBD">
      <w:pPr>
        <w:rPr>
          <w:rFonts w:cs="Arial"/>
          <w:szCs w:val="20"/>
        </w:rPr>
      </w:pPr>
      <w:r>
        <w:rPr>
          <w:rFonts w:cs="Arial"/>
          <w:szCs w:val="20"/>
        </w:rPr>
        <w:t xml:space="preserve">Indeed, </w:t>
      </w:r>
      <w:proofErr w:type="gramStart"/>
      <w:r>
        <w:rPr>
          <w:rFonts w:cs="Arial"/>
          <w:szCs w:val="20"/>
        </w:rPr>
        <w:t>t</w:t>
      </w:r>
      <w:r w:rsidR="000B5834">
        <w:rPr>
          <w:rFonts w:cs="Arial"/>
          <w:szCs w:val="20"/>
        </w:rPr>
        <w:t>rans</w:t>
      </w:r>
      <w:proofErr w:type="gramEnd"/>
      <w:r w:rsidR="000B5834">
        <w:rPr>
          <w:rFonts w:cs="Arial"/>
          <w:szCs w:val="20"/>
        </w:rPr>
        <w:t xml:space="preserve"> students themselves will also be at different stages of understanding gender variance: while some already are and have had to become experienced activists, others may only just be realising that something which has confused them about their own gender has also happened to other people. While educators should not assume that a </w:t>
      </w:r>
      <w:proofErr w:type="gramStart"/>
      <w:r w:rsidR="000B5834">
        <w:rPr>
          <w:rFonts w:cs="Arial"/>
          <w:szCs w:val="20"/>
        </w:rPr>
        <w:t>trans</w:t>
      </w:r>
      <w:proofErr w:type="gramEnd"/>
      <w:r w:rsidR="000B5834">
        <w:rPr>
          <w:rFonts w:cs="Arial"/>
          <w:szCs w:val="20"/>
        </w:rPr>
        <w:t xml:space="preserve"> student will always have had particular experiences or knowledge, </w:t>
      </w:r>
      <w:r>
        <w:rPr>
          <w:rFonts w:cs="Arial"/>
          <w:szCs w:val="20"/>
        </w:rPr>
        <w:t>it is prudent to assume – without trying to identify them – that there are trans/non-binary students in every class. Speaking about gender variance as if it were an abstraction rather than part of many people’s lived experience is, as responses to this research suggested, a form of ‘</w:t>
      </w:r>
      <w:proofErr w:type="spellStart"/>
      <w:r>
        <w:rPr>
          <w:rFonts w:cs="Arial"/>
          <w:szCs w:val="20"/>
        </w:rPr>
        <w:t>microaggression</w:t>
      </w:r>
      <w:proofErr w:type="spellEnd"/>
      <w:r>
        <w:rPr>
          <w:rFonts w:cs="Arial"/>
          <w:szCs w:val="20"/>
        </w:rPr>
        <w:t xml:space="preserve">’ – the </w:t>
      </w:r>
      <w:r w:rsidRPr="00CC62FC">
        <w:rPr>
          <w:rFonts w:cs="Arial"/>
          <w:szCs w:val="20"/>
        </w:rPr>
        <w:t xml:space="preserve">‘brief and commonplace </w:t>
      </w:r>
      <w:r>
        <w:rPr>
          <w:rFonts w:cs="Arial"/>
          <w:szCs w:val="20"/>
        </w:rPr>
        <w:t xml:space="preserve">[…] </w:t>
      </w:r>
      <w:r w:rsidRPr="00CC62FC">
        <w:rPr>
          <w:rFonts w:cs="Arial"/>
          <w:szCs w:val="20"/>
        </w:rPr>
        <w:t xml:space="preserve">verbal, </w:t>
      </w:r>
      <w:proofErr w:type="spellStart"/>
      <w:r w:rsidRPr="00CC62FC">
        <w:rPr>
          <w:rFonts w:cs="Arial"/>
          <w:szCs w:val="20"/>
        </w:rPr>
        <w:t>behavioral</w:t>
      </w:r>
      <w:proofErr w:type="spellEnd"/>
      <w:r w:rsidRPr="00CC62FC">
        <w:rPr>
          <w:rFonts w:cs="Arial"/>
          <w:szCs w:val="20"/>
        </w:rPr>
        <w:t xml:space="preserve"> or environmental indignities, whether </w:t>
      </w:r>
      <w:r w:rsidRPr="00CC62FC">
        <w:rPr>
          <w:rFonts w:cs="Arial"/>
          <w:szCs w:val="20"/>
        </w:rPr>
        <w:lastRenderedPageBreak/>
        <w:t>intentional or unintentional’</w:t>
      </w:r>
      <w:r>
        <w:rPr>
          <w:rFonts w:cs="Arial"/>
          <w:szCs w:val="20"/>
        </w:rPr>
        <w:t>, that marginalised people face every day (Sue et al. 2007: 271</w:t>
      </w:r>
      <w:r w:rsidR="00117E37">
        <w:rPr>
          <w:rFonts w:cs="Arial"/>
          <w:szCs w:val="20"/>
        </w:rPr>
        <w:t xml:space="preserve">; see also </w:t>
      </w:r>
      <w:proofErr w:type="spellStart"/>
      <w:r w:rsidR="00117E37">
        <w:rPr>
          <w:rFonts w:cs="Arial"/>
          <w:szCs w:val="20"/>
        </w:rPr>
        <w:t>Nordmarken</w:t>
      </w:r>
      <w:proofErr w:type="spellEnd"/>
      <w:r w:rsidR="00117E37">
        <w:rPr>
          <w:rFonts w:cs="Arial"/>
          <w:szCs w:val="20"/>
        </w:rPr>
        <w:t xml:space="preserve"> 2014</w:t>
      </w:r>
      <w:r>
        <w:rPr>
          <w:rFonts w:cs="Arial"/>
          <w:szCs w:val="20"/>
        </w:rPr>
        <w:t xml:space="preserve">) – which add to psychological pressure on marginalised people and, in an educational context, interfere with student participation and achievement. Classrooms themselves, this research shows, can become locations of </w:t>
      </w:r>
      <w:proofErr w:type="spellStart"/>
      <w:r>
        <w:rPr>
          <w:rFonts w:cs="Arial"/>
          <w:szCs w:val="20"/>
        </w:rPr>
        <w:t>microaggressions</w:t>
      </w:r>
      <w:proofErr w:type="spellEnd"/>
      <w:r>
        <w:rPr>
          <w:rFonts w:cs="Arial"/>
          <w:szCs w:val="20"/>
        </w:rPr>
        <w:t xml:space="preserve"> if they are not sensitively managed</w:t>
      </w:r>
      <w:r w:rsidR="00117E37">
        <w:rPr>
          <w:rFonts w:cs="Arial"/>
          <w:szCs w:val="20"/>
        </w:rPr>
        <w:t>. H</w:t>
      </w:r>
      <w:r>
        <w:rPr>
          <w:rFonts w:cs="Arial"/>
          <w:szCs w:val="20"/>
        </w:rPr>
        <w:t xml:space="preserve">owever, aspiring to integrate trans topics, experiences and scholarship into the curriculum is socially as </w:t>
      </w:r>
      <w:r w:rsidR="00117E37">
        <w:rPr>
          <w:rFonts w:cs="Arial"/>
          <w:szCs w:val="20"/>
        </w:rPr>
        <w:t xml:space="preserve">well as pedagogically valuable in challenging the </w:t>
      </w:r>
      <w:proofErr w:type="spellStart"/>
      <w:r w:rsidR="00117E37">
        <w:rPr>
          <w:rFonts w:cs="Arial"/>
          <w:szCs w:val="20"/>
        </w:rPr>
        <w:t>microaggression</w:t>
      </w:r>
      <w:proofErr w:type="spellEnd"/>
      <w:r w:rsidR="00117E37">
        <w:rPr>
          <w:rFonts w:cs="Arial"/>
          <w:szCs w:val="20"/>
        </w:rPr>
        <w:t xml:space="preserve"> of ‘erasure’ </w:t>
      </w:r>
      <w:r w:rsidR="00117E37" w:rsidRPr="00CC62FC">
        <w:rPr>
          <w:rFonts w:cs="Arial"/>
          <w:szCs w:val="20"/>
        </w:rPr>
        <w:t>(Namaste 2000; Bauer et al. 2009)</w:t>
      </w:r>
      <w:r w:rsidR="00117E37">
        <w:rPr>
          <w:rFonts w:cs="Arial"/>
          <w:szCs w:val="20"/>
        </w:rPr>
        <w:t xml:space="preserve"> – that is, </w:t>
      </w:r>
      <w:r w:rsidR="00117E37" w:rsidRPr="00CC62FC">
        <w:rPr>
          <w:rFonts w:cs="Arial"/>
          <w:szCs w:val="20"/>
        </w:rPr>
        <w:t>the rendering invisible of trans/non-binary people and their experience</w:t>
      </w:r>
      <w:r w:rsidR="00117E37">
        <w:rPr>
          <w:rFonts w:cs="Arial"/>
          <w:szCs w:val="20"/>
        </w:rPr>
        <w:t>s – in society.</w:t>
      </w:r>
      <w:r w:rsidR="001F52C3">
        <w:rPr>
          <w:rFonts w:cs="Arial"/>
          <w:szCs w:val="20"/>
        </w:rPr>
        <w:t xml:space="preserve"> Indeed, the National Union of Students response to the Transgender Equality inquiry, noting that ‘[m]any </w:t>
      </w:r>
      <w:proofErr w:type="gramStart"/>
      <w:r w:rsidR="001F52C3">
        <w:rPr>
          <w:rFonts w:cs="Arial"/>
          <w:szCs w:val="20"/>
        </w:rPr>
        <w:t>trans</w:t>
      </w:r>
      <w:proofErr w:type="gramEnd"/>
      <w:r w:rsidR="001F52C3">
        <w:rPr>
          <w:rFonts w:cs="Arial"/>
          <w:szCs w:val="20"/>
        </w:rPr>
        <w:t xml:space="preserve"> students have expressed […] concerns around the lack of visibility of trans identities, voices and experiences within the curriculum’, suggested that ‘[t]his invisibility […] may exacerbate feelings of exclusion or perceptions that [trans students] are not well supported by their institution’.</w:t>
      </w:r>
      <w:r w:rsidR="001F52C3">
        <w:rPr>
          <w:rStyle w:val="FootnoteReference"/>
          <w:rFonts w:cs="Arial"/>
          <w:szCs w:val="20"/>
        </w:rPr>
        <w:footnoteReference w:id="3"/>
      </w:r>
      <w:r w:rsidR="001F52C3">
        <w:rPr>
          <w:rFonts w:cs="Arial"/>
          <w:szCs w:val="20"/>
        </w:rPr>
        <w:t xml:space="preserve"> </w:t>
      </w:r>
    </w:p>
    <w:p w14:paraId="23E7AEEE" w14:textId="77777777" w:rsidR="00147D75" w:rsidRDefault="00147D75" w:rsidP="00147D75">
      <w:pPr>
        <w:rPr>
          <w:rFonts w:cs="Arial"/>
          <w:szCs w:val="20"/>
        </w:rPr>
      </w:pPr>
    </w:p>
    <w:p w14:paraId="3705DD82" w14:textId="7FB8E60E" w:rsidR="000B5834" w:rsidRDefault="00A84F65" w:rsidP="00910FBD">
      <w:pPr>
        <w:rPr>
          <w:rFonts w:cs="Arial"/>
          <w:szCs w:val="20"/>
        </w:rPr>
      </w:pPr>
      <w:r w:rsidRPr="00CC62FC">
        <w:rPr>
          <w:rFonts w:cs="Arial"/>
          <w:szCs w:val="20"/>
        </w:rPr>
        <w:t xml:space="preserve">While most research on trans students’ experiences comes from the USA, a few </w:t>
      </w:r>
      <w:r w:rsidR="00663BBC" w:rsidRPr="00CC62FC">
        <w:rPr>
          <w:rFonts w:cs="Arial"/>
          <w:szCs w:val="20"/>
        </w:rPr>
        <w:t>recent</w:t>
      </w:r>
      <w:r w:rsidR="0026153C" w:rsidRPr="00CC62FC">
        <w:rPr>
          <w:rFonts w:cs="Arial"/>
          <w:szCs w:val="20"/>
        </w:rPr>
        <w:t xml:space="preserve"> </w:t>
      </w:r>
      <w:r w:rsidRPr="00CC62FC">
        <w:rPr>
          <w:rFonts w:cs="Arial"/>
          <w:szCs w:val="20"/>
        </w:rPr>
        <w:t xml:space="preserve">UK studies </w:t>
      </w:r>
      <w:r w:rsidR="00663BBC" w:rsidRPr="00CC62FC">
        <w:rPr>
          <w:rFonts w:cs="Arial"/>
          <w:szCs w:val="20"/>
        </w:rPr>
        <w:t xml:space="preserve">have </w:t>
      </w:r>
      <w:r w:rsidRPr="00CC62FC">
        <w:rPr>
          <w:rFonts w:cs="Arial"/>
          <w:szCs w:val="20"/>
        </w:rPr>
        <w:t>explicitly sought trans as well as LGB perspectives</w:t>
      </w:r>
      <w:r w:rsidR="00136771" w:rsidRPr="00CC62FC">
        <w:rPr>
          <w:rFonts w:cs="Arial"/>
          <w:szCs w:val="20"/>
        </w:rPr>
        <w:t xml:space="preserve"> (</w:t>
      </w:r>
      <w:proofErr w:type="spellStart"/>
      <w:r w:rsidR="00136771" w:rsidRPr="00CC62FC">
        <w:rPr>
          <w:rFonts w:cs="Arial"/>
          <w:szCs w:val="20"/>
        </w:rPr>
        <w:t>Acciari</w:t>
      </w:r>
      <w:proofErr w:type="spellEnd"/>
      <w:r w:rsidR="00136771" w:rsidRPr="00CC62FC">
        <w:rPr>
          <w:rFonts w:cs="Arial"/>
          <w:szCs w:val="20"/>
        </w:rPr>
        <w:t xml:space="preserve"> 2014</w:t>
      </w:r>
      <w:r w:rsidR="0026153C" w:rsidRPr="00CC62FC">
        <w:rPr>
          <w:rFonts w:cs="Arial"/>
          <w:szCs w:val="20"/>
        </w:rPr>
        <w:t xml:space="preserve">; </w:t>
      </w:r>
      <w:r w:rsidR="00663BBC" w:rsidRPr="00CC62FC">
        <w:rPr>
          <w:rFonts w:cs="Arial"/>
          <w:szCs w:val="20"/>
        </w:rPr>
        <w:t>Formby 2015)</w:t>
      </w:r>
      <w:r w:rsidR="001F52C3">
        <w:rPr>
          <w:rFonts w:cs="Arial"/>
          <w:szCs w:val="20"/>
        </w:rPr>
        <w:t xml:space="preserve">, and post-school education is part of the social world that broader research with trans and young-binary people is likely to discuss (e.g. Gendered Intelligence </w:t>
      </w:r>
      <w:proofErr w:type="spellStart"/>
      <w:r w:rsidR="001F52C3">
        <w:rPr>
          <w:rFonts w:cs="Arial"/>
          <w:szCs w:val="20"/>
        </w:rPr>
        <w:t>n.d.</w:t>
      </w:r>
      <w:proofErr w:type="spellEnd"/>
      <w:r w:rsidR="001F52C3">
        <w:rPr>
          <w:rFonts w:cs="Arial"/>
          <w:szCs w:val="20"/>
        </w:rPr>
        <w:t>)</w:t>
      </w:r>
      <w:r w:rsidRPr="00CC62FC">
        <w:rPr>
          <w:rFonts w:cs="Arial"/>
          <w:szCs w:val="20"/>
        </w:rPr>
        <w:t xml:space="preserve">. </w:t>
      </w:r>
      <w:r w:rsidR="009A2D68" w:rsidRPr="00CC62FC">
        <w:rPr>
          <w:rFonts w:cs="Arial"/>
          <w:szCs w:val="20"/>
        </w:rPr>
        <w:t xml:space="preserve">The curriculum is one among many topics in these studies, but their evidence shows a) LGBT students in general are likely to feel that LGBT experiences are not recognised in their curriculum and b) </w:t>
      </w:r>
      <w:r w:rsidR="009216CE" w:rsidRPr="00CC62FC">
        <w:rPr>
          <w:rFonts w:cs="Arial"/>
          <w:szCs w:val="20"/>
        </w:rPr>
        <w:t>this proportion is even higher among trans students (</w:t>
      </w:r>
      <w:r w:rsidR="00136771" w:rsidRPr="00CC62FC">
        <w:rPr>
          <w:rFonts w:cs="Arial"/>
          <w:szCs w:val="20"/>
        </w:rPr>
        <w:t xml:space="preserve">Metro 2014: 100; </w:t>
      </w:r>
      <w:r w:rsidR="009216CE" w:rsidRPr="00CC62FC">
        <w:rPr>
          <w:rFonts w:cs="Arial"/>
          <w:szCs w:val="20"/>
        </w:rPr>
        <w:t xml:space="preserve">Formby 2015: 32). </w:t>
      </w:r>
      <w:proofErr w:type="gramStart"/>
      <w:r w:rsidR="001F52C3">
        <w:rPr>
          <w:rFonts w:cs="Arial"/>
          <w:szCs w:val="20"/>
        </w:rPr>
        <w:t>Trans</w:t>
      </w:r>
      <w:proofErr w:type="gramEnd"/>
      <w:r w:rsidR="001F52C3">
        <w:rPr>
          <w:rFonts w:cs="Arial"/>
          <w:szCs w:val="20"/>
        </w:rPr>
        <w:t xml:space="preserve"> students also report significantly higher levels of </w:t>
      </w:r>
      <w:proofErr w:type="spellStart"/>
      <w:r w:rsidR="001F52C3">
        <w:rPr>
          <w:rFonts w:cs="Arial"/>
          <w:szCs w:val="20"/>
        </w:rPr>
        <w:t>transphobic</w:t>
      </w:r>
      <w:proofErr w:type="spellEnd"/>
      <w:r w:rsidR="001F52C3">
        <w:rPr>
          <w:rFonts w:cs="Arial"/>
          <w:szCs w:val="20"/>
        </w:rPr>
        <w:t xml:space="preserve"> bullying than LGBT students in general report for what are already high levels of bullying on the grounds of sexual orientation, and are more likely to drop out of programmes of education as a result (LGBT Youth Scotland 2012). </w:t>
      </w:r>
    </w:p>
    <w:p w14:paraId="2A5B6470" w14:textId="77777777" w:rsidR="000B5834" w:rsidRDefault="000B5834" w:rsidP="00AE0AF5">
      <w:pPr>
        <w:rPr>
          <w:rFonts w:cs="Arial"/>
          <w:szCs w:val="20"/>
        </w:rPr>
      </w:pPr>
    </w:p>
    <w:p w14:paraId="4580E148" w14:textId="095DDAA8" w:rsidR="00AE0AF5" w:rsidRDefault="009216CE" w:rsidP="00910FBD">
      <w:pPr>
        <w:rPr>
          <w:rFonts w:cs="Arial"/>
          <w:szCs w:val="20"/>
        </w:rPr>
      </w:pPr>
      <w:r w:rsidRPr="00CC62FC">
        <w:rPr>
          <w:rFonts w:cs="Arial"/>
          <w:szCs w:val="20"/>
        </w:rPr>
        <w:t xml:space="preserve">This study set out to complement existing research on the wider university environment by focusing </w:t>
      </w:r>
      <w:r w:rsidR="00136771" w:rsidRPr="00CC62FC">
        <w:rPr>
          <w:rFonts w:cs="Arial"/>
          <w:szCs w:val="20"/>
        </w:rPr>
        <w:t xml:space="preserve">specifically </w:t>
      </w:r>
      <w:r w:rsidRPr="00CC62FC">
        <w:rPr>
          <w:rFonts w:cs="Arial"/>
          <w:szCs w:val="20"/>
        </w:rPr>
        <w:t>on perceptions of the curriculum</w:t>
      </w:r>
      <w:r w:rsidR="00136771" w:rsidRPr="00CC62FC">
        <w:rPr>
          <w:rFonts w:cs="Arial"/>
          <w:szCs w:val="20"/>
        </w:rPr>
        <w:t xml:space="preserve"> and on </w:t>
      </w:r>
      <w:proofErr w:type="gramStart"/>
      <w:r w:rsidR="00136771" w:rsidRPr="00CC62FC">
        <w:rPr>
          <w:rFonts w:cs="Arial"/>
          <w:szCs w:val="20"/>
        </w:rPr>
        <w:t>trans</w:t>
      </w:r>
      <w:proofErr w:type="gramEnd"/>
      <w:r w:rsidR="00136771" w:rsidRPr="00CC62FC">
        <w:rPr>
          <w:rFonts w:cs="Arial"/>
          <w:szCs w:val="20"/>
        </w:rPr>
        <w:t xml:space="preserve"> </w:t>
      </w:r>
      <w:r w:rsidR="00910FBD">
        <w:rPr>
          <w:rFonts w:cs="Arial"/>
          <w:szCs w:val="20"/>
        </w:rPr>
        <w:t xml:space="preserve">inclusion and the inclusion of non-binary genders </w:t>
      </w:r>
      <w:r w:rsidR="00136771" w:rsidRPr="00CC62FC">
        <w:rPr>
          <w:rFonts w:cs="Arial"/>
          <w:szCs w:val="20"/>
        </w:rPr>
        <w:t>(rather than LGBT-wide</w:t>
      </w:r>
      <w:r w:rsidR="00910FBD">
        <w:rPr>
          <w:rFonts w:cs="Arial"/>
          <w:szCs w:val="20"/>
        </w:rPr>
        <w:t xml:space="preserve"> inclusion</w:t>
      </w:r>
      <w:r w:rsidR="00136771" w:rsidRPr="00CC62FC">
        <w:rPr>
          <w:rFonts w:cs="Arial"/>
          <w:szCs w:val="20"/>
        </w:rPr>
        <w:t>)</w:t>
      </w:r>
      <w:r w:rsidRPr="00CC62FC">
        <w:rPr>
          <w:rFonts w:cs="Arial"/>
          <w:szCs w:val="20"/>
        </w:rPr>
        <w:t xml:space="preserve">. </w:t>
      </w:r>
      <w:r w:rsidR="00D124C0" w:rsidRPr="00CC62FC">
        <w:rPr>
          <w:rFonts w:cs="Arial"/>
          <w:szCs w:val="20"/>
        </w:rPr>
        <w:t xml:space="preserve">‘Inclusion’ and ‘inclusivity’ are problematic terms which do not fully capture the conceptual and material unmaking and remaking that must take place in order to undo structural exclusions in the curriculum, the university and society (Ahmed 2012). Moreover, speaking of ‘including’ a topic can sometimes just mean tokenising it as a topic or handling its teaching so poorly that transformative learning does not occur (hooks 1994: 38–9; Beauchamp and </w:t>
      </w:r>
      <w:proofErr w:type="spellStart"/>
      <w:r w:rsidR="00D124C0" w:rsidRPr="00CC62FC">
        <w:rPr>
          <w:rFonts w:cs="Arial"/>
          <w:szCs w:val="20"/>
        </w:rPr>
        <w:t>d’Harlingue</w:t>
      </w:r>
      <w:proofErr w:type="spellEnd"/>
      <w:r w:rsidR="00D124C0" w:rsidRPr="00CC62FC">
        <w:rPr>
          <w:rFonts w:cs="Arial"/>
          <w:szCs w:val="20"/>
        </w:rPr>
        <w:t xml:space="preserve"> 2012). The idea is nevertheless simple to explain without requiring specific conceptual apparatus which students in some disciplines would have been more likely to obtain than others, and was </w:t>
      </w:r>
      <w:r w:rsidR="00FE6B8B" w:rsidRPr="00CC62FC">
        <w:rPr>
          <w:rFonts w:cs="Arial"/>
          <w:szCs w:val="20"/>
        </w:rPr>
        <w:t>therefore an appropriate survey title</w:t>
      </w:r>
      <w:r w:rsidR="00D124C0" w:rsidRPr="00CC62FC">
        <w:rPr>
          <w:rFonts w:cs="Arial"/>
          <w:szCs w:val="20"/>
        </w:rPr>
        <w:t xml:space="preserve">. </w:t>
      </w:r>
    </w:p>
    <w:p w14:paraId="506DB7C7" w14:textId="77777777" w:rsidR="00AE0AF5" w:rsidRDefault="00AE0AF5" w:rsidP="00AE0AF5"/>
    <w:p w14:paraId="3B8C81E8" w14:textId="7C4F6C02" w:rsidR="00F40F44" w:rsidRPr="00CC62FC" w:rsidRDefault="00630120" w:rsidP="00AE0AF5">
      <w:r w:rsidRPr="00CC62FC">
        <w:t xml:space="preserve">Providing a trans/non-binary-inclusive curriculum matters both instrumentally and, for tutors </w:t>
      </w:r>
      <w:r w:rsidR="007D1813" w:rsidRPr="00CC62FC">
        <w:t>informed by critical/feminist pedagogy</w:t>
      </w:r>
      <w:r w:rsidRPr="00CC62FC">
        <w:t xml:space="preserve">, politically. In an admissions environment where </w:t>
      </w:r>
      <w:r w:rsidR="007D1813" w:rsidRPr="00CC62FC">
        <w:t>student satisfaction affects university league-table performance and student places are no longer centrally capped</w:t>
      </w:r>
      <w:r w:rsidRPr="00CC62FC">
        <w:t>, it is all the more important for universities to provide a curriculum that students perceive as up-to-date</w:t>
      </w:r>
      <w:r w:rsidR="00A934DC" w:rsidRPr="00CC62FC">
        <w:t xml:space="preserve"> and that will appeal to the full range of potential students – the so-called ‘business case’ for diversity</w:t>
      </w:r>
      <w:r w:rsidR="007D1813" w:rsidRPr="00CC62FC">
        <w:t xml:space="preserve"> (Shaw et al. 2007; David 2009)</w:t>
      </w:r>
      <w:r w:rsidR="00A934DC" w:rsidRPr="00CC62FC">
        <w:t>.</w:t>
      </w:r>
      <w:r w:rsidRPr="00CC62FC">
        <w:t xml:space="preserve"> </w:t>
      </w:r>
      <w:r w:rsidR="00A934DC" w:rsidRPr="00CC62FC">
        <w:t xml:space="preserve">Even in 2015, research suggested universities were not meeting demand in this area (Formby 2015: 42–3). </w:t>
      </w:r>
      <w:r w:rsidR="00F42486" w:rsidRPr="00CC62FC">
        <w:t xml:space="preserve">Yet an inclusive curriculum can and, this paper suggests, should, be viewed as more </w:t>
      </w:r>
      <w:r w:rsidR="00F42486" w:rsidRPr="00CC62FC">
        <w:lastRenderedPageBreak/>
        <w:t xml:space="preserve">than an instrument to increase student recruitment and satisfaction, or even as a mechanism for meeting a legislative anti-discrimination duty. A critical pedagogy, following bell hooks (1994: 83–4), acknowledges ‘that students from marginalized groups enter classrooms within institutions where their voices have been neither heard nor welcomed’ and seeks to ‘affirm their presence, their right to speak, in multiple ways on diverse topics’ as part of involving all students in a transformative education. Achieving this transformation requires much more than </w:t>
      </w:r>
      <w:r w:rsidR="00FE6B8B" w:rsidRPr="00CC62FC">
        <w:t xml:space="preserve">just </w:t>
      </w:r>
      <w:r w:rsidR="00FE6B8B" w:rsidRPr="00CC62FC">
        <w:rPr>
          <w:i/>
          <w:iCs/>
        </w:rPr>
        <w:t>including</w:t>
      </w:r>
      <w:r w:rsidR="00FE6B8B" w:rsidRPr="00CC62FC">
        <w:t xml:space="preserve"> </w:t>
      </w:r>
      <w:r w:rsidR="00F42486" w:rsidRPr="00CC62FC">
        <w:t>marginalised identities and experiences</w:t>
      </w:r>
      <w:r w:rsidR="00FE6B8B" w:rsidRPr="00CC62FC">
        <w:t xml:space="preserve">, but also, </w:t>
      </w:r>
      <w:r w:rsidR="001E3A2D" w:rsidRPr="00CC62FC">
        <w:t xml:space="preserve">as Toby Beauchamp and Benjamin </w:t>
      </w:r>
      <w:proofErr w:type="spellStart"/>
      <w:r w:rsidR="001E3A2D" w:rsidRPr="00CC62FC">
        <w:t>d’Harlingue</w:t>
      </w:r>
      <w:proofErr w:type="spellEnd"/>
      <w:r w:rsidR="001E3A2D" w:rsidRPr="00CC62FC">
        <w:t xml:space="preserve"> (2012: 26–7) argue in a study of learning resources for introductions to gender/women’s studies, integrating ‘transgender bodies and subjects’ throughout the discipline’s curriculum, rather than just ‘greater inclusion of transgender subjects under the sign of women or man’.</w:t>
      </w:r>
    </w:p>
    <w:p w14:paraId="5CD44503" w14:textId="77777777" w:rsidR="00A934DC" w:rsidRPr="00CC62FC" w:rsidRDefault="00A934DC" w:rsidP="00630120"/>
    <w:p w14:paraId="2729373E" w14:textId="35200AF3" w:rsidR="007E643D" w:rsidRPr="00CC62FC" w:rsidRDefault="001F52C3" w:rsidP="00D0651C">
      <w:pPr>
        <w:rPr>
          <w:rFonts w:cs="Arial"/>
          <w:b/>
          <w:bCs/>
          <w:szCs w:val="24"/>
        </w:rPr>
      </w:pPr>
      <w:r>
        <w:rPr>
          <w:rFonts w:cs="Arial"/>
          <w:b/>
          <w:bCs/>
          <w:szCs w:val="24"/>
        </w:rPr>
        <w:t xml:space="preserve">2. </w:t>
      </w:r>
      <w:r w:rsidR="000B5834">
        <w:rPr>
          <w:rFonts w:cs="Arial"/>
          <w:b/>
          <w:bCs/>
          <w:szCs w:val="24"/>
        </w:rPr>
        <w:t>Participants</w:t>
      </w:r>
    </w:p>
    <w:p w14:paraId="4F9F43A9" w14:textId="77777777" w:rsidR="003A5C51" w:rsidRPr="00CC62FC" w:rsidRDefault="003A5C51" w:rsidP="00D0651C">
      <w:pPr>
        <w:rPr>
          <w:rFonts w:cs="Arial"/>
          <w:b/>
          <w:bCs/>
          <w:szCs w:val="24"/>
        </w:rPr>
      </w:pPr>
    </w:p>
    <w:p w14:paraId="1A857FF4" w14:textId="7CD643D9" w:rsidR="00461885" w:rsidRPr="00CC62FC" w:rsidRDefault="00AE0AF5" w:rsidP="00AE0AF5">
      <w:pPr>
        <w:rPr>
          <w:rFonts w:cs="Arial"/>
          <w:szCs w:val="24"/>
        </w:rPr>
      </w:pPr>
      <w:r>
        <w:rPr>
          <w:rFonts w:cs="Arial"/>
          <w:szCs w:val="24"/>
        </w:rPr>
        <w:t xml:space="preserve">This report is </w:t>
      </w:r>
      <w:r w:rsidR="001E3A2D" w:rsidRPr="00CC62FC">
        <w:rPr>
          <w:rFonts w:cs="Arial"/>
          <w:szCs w:val="24"/>
        </w:rPr>
        <w:t>based on the narratives of 18 participants who had studied humanities and/or social sciences in the UK since 2005</w:t>
      </w:r>
      <w:r w:rsidR="000B5834">
        <w:rPr>
          <w:rFonts w:cs="Arial"/>
          <w:szCs w:val="24"/>
        </w:rPr>
        <w:t>, collected online using the methodology described in Appendix 1</w:t>
      </w:r>
      <w:r w:rsidR="001E3A2D" w:rsidRPr="00CC62FC">
        <w:rPr>
          <w:rFonts w:cs="Arial"/>
          <w:szCs w:val="24"/>
        </w:rPr>
        <w:t>. The narratives, elicited through a series of prompt questions</w:t>
      </w:r>
      <w:r w:rsidR="00DE1756" w:rsidRPr="00CC62FC">
        <w:rPr>
          <w:rFonts w:cs="Arial"/>
          <w:szCs w:val="24"/>
        </w:rPr>
        <w:t xml:space="preserve"> (</w:t>
      </w:r>
      <w:r w:rsidR="001E3A2D" w:rsidRPr="00CC62FC">
        <w:rPr>
          <w:rFonts w:cs="Arial"/>
          <w:szCs w:val="24"/>
        </w:rPr>
        <w:t>about the curriculum participants remembered, classroom experiences, and other relevant factors in the higher education environment</w:t>
      </w:r>
      <w:r w:rsidR="00DE1756" w:rsidRPr="00CC62FC">
        <w:rPr>
          <w:rFonts w:cs="Arial"/>
          <w:szCs w:val="24"/>
        </w:rPr>
        <w:t>) within a Bristol Online Survey questionnaire</w:t>
      </w:r>
      <w:r w:rsidR="00FE6B8B" w:rsidRPr="00CC62FC">
        <w:rPr>
          <w:rFonts w:cs="Arial"/>
          <w:szCs w:val="24"/>
        </w:rPr>
        <w:t xml:space="preserve"> and hand-coded by the researcher</w:t>
      </w:r>
      <w:r w:rsidR="00DE1756" w:rsidRPr="00CC62FC">
        <w:rPr>
          <w:rFonts w:cs="Arial"/>
          <w:szCs w:val="24"/>
        </w:rPr>
        <w:t>.</w:t>
      </w:r>
      <w:r w:rsidR="00FE6B8B" w:rsidRPr="00CC62FC">
        <w:rPr>
          <w:rFonts w:cs="Arial"/>
          <w:szCs w:val="24"/>
        </w:rPr>
        <w:t xml:space="preserve"> </w:t>
      </w:r>
      <w:r w:rsidR="00DE1756" w:rsidRPr="00CC62FC">
        <w:rPr>
          <w:rFonts w:cs="Arial"/>
          <w:szCs w:val="24"/>
        </w:rPr>
        <w:t xml:space="preserve">A small number of comments by internet users (along the lines that trans and non-binary identities and experiences had been so invisible in their curriculum that it was not even worth completing a survey about it) which reached me when the survey was publicised on social media are not included in the study but </w:t>
      </w:r>
      <w:r w:rsidR="00FE6B8B" w:rsidRPr="00CC62FC">
        <w:rPr>
          <w:rFonts w:cs="Arial"/>
          <w:szCs w:val="24"/>
        </w:rPr>
        <w:t>suggest broader perceptions among (ex-</w:t>
      </w:r>
      <w:proofErr w:type="gramStart"/>
      <w:r w:rsidR="00FE6B8B" w:rsidRPr="00CC62FC">
        <w:rPr>
          <w:rFonts w:cs="Arial"/>
          <w:szCs w:val="24"/>
        </w:rPr>
        <w:t>)students</w:t>
      </w:r>
      <w:proofErr w:type="gramEnd"/>
      <w:r w:rsidR="00FE6B8B" w:rsidRPr="00CC62FC">
        <w:rPr>
          <w:rFonts w:cs="Arial"/>
          <w:szCs w:val="24"/>
        </w:rPr>
        <w:t xml:space="preserve"> aware of trans and non-binary issues that university curricula do not cover these well</w:t>
      </w:r>
      <w:r w:rsidR="00DE1756" w:rsidRPr="00CC62FC">
        <w:rPr>
          <w:rFonts w:cs="Arial"/>
          <w:szCs w:val="24"/>
        </w:rPr>
        <w:t>.</w:t>
      </w:r>
      <w:r w:rsidR="00FE6B8B" w:rsidRPr="00CC62FC">
        <w:rPr>
          <w:rStyle w:val="FootnoteReference"/>
          <w:rFonts w:cs="Arial"/>
          <w:szCs w:val="24"/>
        </w:rPr>
        <w:footnoteReference w:id="4"/>
      </w:r>
    </w:p>
    <w:p w14:paraId="1C303811" w14:textId="77777777" w:rsidR="00AE0AF5" w:rsidRDefault="00AE0AF5" w:rsidP="00AE0AF5">
      <w:pPr>
        <w:rPr>
          <w:rFonts w:cs="Arial"/>
          <w:szCs w:val="24"/>
        </w:rPr>
      </w:pPr>
    </w:p>
    <w:p w14:paraId="7229879E" w14:textId="5D52AE7A" w:rsidR="00E03252" w:rsidRDefault="00AE0AF5" w:rsidP="00AE0AF5">
      <w:pPr>
        <w:rPr>
          <w:rFonts w:cs="Arial"/>
          <w:szCs w:val="24"/>
        </w:rPr>
      </w:pPr>
      <w:r>
        <w:rPr>
          <w:rFonts w:cs="Arial"/>
          <w:szCs w:val="24"/>
        </w:rPr>
        <w:t>Respondents stated their gender and ethnic/racial background using f</w:t>
      </w:r>
      <w:r w:rsidR="00461885" w:rsidRPr="00CC62FC">
        <w:rPr>
          <w:rFonts w:cs="Arial"/>
          <w:szCs w:val="24"/>
        </w:rPr>
        <w:t xml:space="preserve">ree-text fields </w:t>
      </w:r>
      <w:r>
        <w:rPr>
          <w:rFonts w:cs="Arial"/>
          <w:szCs w:val="24"/>
        </w:rPr>
        <w:t>(</w:t>
      </w:r>
      <w:r w:rsidR="00461885" w:rsidRPr="00CC62FC">
        <w:rPr>
          <w:rFonts w:cs="Arial"/>
          <w:szCs w:val="24"/>
        </w:rPr>
        <w:t xml:space="preserve">rather than </w:t>
      </w:r>
      <w:r>
        <w:rPr>
          <w:rFonts w:cs="Arial"/>
          <w:szCs w:val="24"/>
        </w:rPr>
        <w:t>ticking boxes to align themselves with Higher Education Statistics Agency categories)</w:t>
      </w:r>
      <w:r w:rsidR="00461885" w:rsidRPr="00CC62FC">
        <w:rPr>
          <w:rFonts w:cs="Arial"/>
          <w:szCs w:val="24"/>
        </w:rPr>
        <w:t xml:space="preserve"> </w:t>
      </w:r>
      <w:r>
        <w:rPr>
          <w:rFonts w:cs="Arial"/>
          <w:szCs w:val="24"/>
        </w:rPr>
        <w:t xml:space="preserve">and in another field could </w:t>
      </w:r>
      <w:r w:rsidR="00461885" w:rsidRPr="00CC62FC">
        <w:rPr>
          <w:rFonts w:cs="Arial"/>
          <w:szCs w:val="24"/>
        </w:rPr>
        <w:t xml:space="preserve">add any other information they considered important in contextualising their response. 13 respondents (72.2%) identified as white in some way (8 as White British), including 3 (16.7%) who also mentioned Jewish heritage. 1 defined themselves as ‘British’, 1 ‘Southeast European’, 1 ‘Mixed Asian and European’ and 1 as an ‘international student’. </w:t>
      </w:r>
      <w:r w:rsidR="007D5FF4" w:rsidRPr="00CC62FC">
        <w:rPr>
          <w:rFonts w:cs="Arial"/>
          <w:szCs w:val="24"/>
        </w:rPr>
        <w:t xml:space="preserve">The sample’s gender balance was 44.4% female, 27.7% male and 22.2% non-binary, with 1 (5.6%) not stating any gender. The numbers of trans/non-binary and </w:t>
      </w:r>
      <w:proofErr w:type="spellStart"/>
      <w:r w:rsidR="007D5FF4" w:rsidRPr="00CC62FC">
        <w:rPr>
          <w:rFonts w:cs="Arial"/>
          <w:szCs w:val="24"/>
        </w:rPr>
        <w:t>cis</w:t>
      </w:r>
      <w:proofErr w:type="spellEnd"/>
      <w:r w:rsidR="007D5FF4" w:rsidRPr="00CC62FC">
        <w:rPr>
          <w:rFonts w:cs="Arial"/>
          <w:szCs w:val="24"/>
        </w:rPr>
        <w:t xml:space="preserve"> participants were equal (6 (33.3%) each), among participants who stated a gender identity. </w:t>
      </w:r>
      <w:r w:rsidR="00461885" w:rsidRPr="00CC62FC">
        <w:rPr>
          <w:rFonts w:cs="Arial"/>
          <w:szCs w:val="24"/>
        </w:rPr>
        <w:t xml:space="preserve">As additional background, 2 participants referred to disability and chronic illness, 2 to poverty and class, 1 to being a non-UK/EU citizen and 2 to close personal ties with </w:t>
      </w:r>
      <w:proofErr w:type="gramStart"/>
      <w:r w:rsidR="00461885" w:rsidRPr="00CC62FC">
        <w:rPr>
          <w:rFonts w:cs="Arial"/>
          <w:szCs w:val="24"/>
        </w:rPr>
        <w:t>trans</w:t>
      </w:r>
      <w:proofErr w:type="gramEnd"/>
      <w:r w:rsidR="00461885" w:rsidRPr="00CC62FC">
        <w:rPr>
          <w:rFonts w:cs="Arial"/>
          <w:szCs w:val="24"/>
        </w:rPr>
        <w:t xml:space="preserve"> partners or relatives. </w:t>
      </w:r>
      <w:r w:rsidR="007D5FF4" w:rsidRPr="00CC62FC">
        <w:rPr>
          <w:rFonts w:cs="Arial"/>
          <w:szCs w:val="24"/>
        </w:rPr>
        <w:t xml:space="preserve">10 participants (55.5%) had completed their studies and 8 (44%) were still studying. 8 (44.4%) had begun studying after 2010 (thus after the latest Equalities Act) and another 7 (38.9%) had study dates spanning the pre-2010 and post-2010 periods; only 3 (16.7%) had completed all their studies before 2010. However, the narratives of pre-2010 and post-2010 students were not sufficiently divergent to require sustained differential comparison (though if more pre-2010 students had participated maybe more differences would have emerged). </w:t>
      </w:r>
    </w:p>
    <w:p w14:paraId="00E3B7CD" w14:textId="77777777" w:rsidR="00AE0AF5" w:rsidRDefault="00AE0AF5" w:rsidP="00AE0AF5">
      <w:pPr>
        <w:rPr>
          <w:rFonts w:cs="Arial"/>
          <w:szCs w:val="24"/>
        </w:rPr>
      </w:pPr>
    </w:p>
    <w:p w14:paraId="71618FD1" w14:textId="46D74068" w:rsidR="00AE0AF5" w:rsidRPr="00CC62FC" w:rsidRDefault="00AE0AF5" w:rsidP="00AE0AF5">
      <w:pPr>
        <w:rPr>
          <w:rFonts w:cs="Arial"/>
          <w:szCs w:val="24"/>
        </w:rPr>
      </w:pPr>
      <w:r w:rsidRPr="00CC62FC">
        <w:rPr>
          <w:rFonts w:cs="Arial"/>
          <w:szCs w:val="24"/>
        </w:rPr>
        <w:lastRenderedPageBreak/>
        <w:t>While participants’ background information is tabulated in Appendix</w:t>
      </w:r>
      <w:r>
        <w:rPr>
          <w:rFonts w:cs="Arial"/>
          <w:szCs w:val="24"/>
        </w:rPr>
        <w:t xml:space="preserve"> 2</w:t>
      </w:r>
      <w:r w:rsidRPr="00CC62FC">
        <w:rPr>
          <w:rFonts w:cs="Arial"/>
          <w:szCs w:val="24"/>
        </w:rPr>
        <w:t xml:space="preserve">, a few remarks are important for contextualising the responses. The sample lacked participants older than the 35–44 age group and any participants who identified themselves as Black (2 did not state any ethnic or racial background), suggesting that an expanded study would need to identify specific routes for recruiting current/former mature students and Black students to participate (such as contacting Black students’ officers about the survey), as well as contacting the full range of HEIs in the UK as Valentine, Wood and Plummer (2009) had done. Directly including a question inviting participants to narrate the intersecting effects of </w:t>
      </w:r>
      <w:proofErr w:type="spellStart"/>
      <w:r w:rsidRPr="00CC62FC">
        <w:rPr>
          <w:rFonts w:cs="Arial"/>
          <w:szCs w:val="24"/>
        </w:rPr>
        <w:t>cissexism</w:t>
      </w:r>
      <w:proofErr w:type="spellEnd"/>
      <w:r w:rsidRPr="00CC62FC">
        <w:rPr>
          <w:rFonts w:cs="Arial"/>
          <w:szCs w:val="24"/>
        </w:rPr>
        <w:t xml:space="preserve"> and racial oppression/</w:t>
      </w:r>
      <w:proofErr w:type="spellStart"/>
      <w:r w:rsidRPr="00CC62FC">
        <w:rPr>
          <w:rFonts w:cs="Arial"/>
          <w:szCs w:val="24"/>
        </w:rPr>
        <w:t>Islamophobia</w:t>
      </w:r>
      <w:proofErr w:type="spellEnd"/>
      <w:r w:rsidRPr="00CC62FC">
        <w:rPr>
          <w:rFonts w:cs="Arial"/>
          <w:szCs w:val="24"/>
        </w:rPr>
        <w:t xml:space="preserve"> on their experiences of learning, as 2 respondents recommended, would also have been important</w:t>
      </w:r>
      <w:r>
        <w:rPr>
          <w:rFonts w:cs="Arial"/>
          <w:szCs w:val="24"/>
        </w:rPr>
        <w:t>, and I regret that I did not include one in the research</w:t>
      </w:r>
      <w:r w:rsidRPr="00CC62FC">
        <w:rPr>
          <w:rFonts w:cs="Arial"/>
          <w:szCs w:val="24"/>
        </w:rPr>
        <w:t>.</w:t>
      </w:r>
    </w:p>
    <w:p w14:paraId="3B0EDBDC" w14:textId="77777777" w:rsidR="00AE0AF5" w:rsidRDefault="00AE0AF5" w:rsidP="00AE0AF5">
      <w:pPr>
        <w:rPr>
          <w:rFonts w:cs="Arial"/>
          <w:szCs w:val="24"/>
        </w:rPr>
      </w:pPr>
    </w:p>
    <w:p w14:paraId="5D25402C" w14:textId="59465B08" w:rsidR="00DE1756" w:rsidRPr="00CC62FC" w:rsidRDefault="00DE1756" w:rsidP="00910FBD">
      <w:pPr>
        <w:rPr>
          <w:rFonts w:cs="Arial"/>
          <w:i/>
          <w:iCs/>
          <w:szCs w:val="24"/>
          <w:u w:val="single"/>
        </w:rPr>
      </w:pPr>
      <w:r w:rsidRPr="00CC62FC">
        <w:rPr>
          <w:rFonts w:cs="Arial"/>
          <w:szCs w:val="24"/>
        </w:rPr>
        <w:t xml:space="preserve">The wide remit for participants – who did not have to identify their subject of study, nor state whether they were </w:t>
      </w:r>
      <w:proofErr w:type="spellStart"/>
      <w:r w:rsidRPr="00CC62FC">
        <w:rPr>
          <w:rFonts w:cs="Arial"/>
          <w:szCs w:val="24"/>
        </w:rPr>
        <w:t>cis</w:t>
      </w:r>
      <w:proofErr w:type="spellEnd"/>
      <w:r w:rsidRPr="00CC62FC">
        <w:rPr>
          <w:rFonts w:cs="Arial"/>
          <w:szCs w:val="24"/>
        </w:rPr>
        <w:t xml:space="preserve"> or </w:t>
      </w:r>
      <w:proofErr w:type="gramStart"/>
      <w:r w:rsidRPr="00CC62FC">
        <w:rPr>
          <w:rFonts w:cs="Arial"/>
          <w:szCs w:val="24"/>
        </w:rPr>
        <w:t>trans</w:t>
      </w:r>
      <w:proofErr w:type="gramEnd"/>
      <w:r w:rsidRPr="00CC62FC">
        <w:rPr>
          <w:rFonts w:cs="Arial"/>
          <w:szCs w:val="24"/>
        </w:rPr>
        <w:t xml:space="preserve"> – obstructs some forms of comparison but was intended to reassure participants that </w:t>
      </w:r>
      <w:r w:rsidR="00E03252" w:rsidRPr="00CC62FC">
        <w:rPr>
          <w:rFonts w:cs="Arial"/>
          <w:szCs w:val="24"/>
        </w:rPr>
        <w:t xml:space="preserve">they could not be identified if their department/programme had been small. This was particularly important in fulfilling ethical responsibilities towards participants who were </w:t>
      </w:r>
      <w:proofErr w:type="gramStart"/>
      <w:r w:rsidR="00E03252" w:rsidRPr="00CC62FC">
        <w:rPr>
          <w:rFonts w:cs="Arial"/>
          <w:szCs w:val="24"/>
        </w:rPr>
        <w:t>trans</w:t>
      </w:r>
      <w:proofErr w:type="gramEnd"/>
      <w:r w:rsidR="00E03252" w:rsidRPr="00CC62FC">
        <w:rPr>
          <w:rFonts w:cs="Arial"/>
          <w:szCs w:val="24"/>
        </w:rPr>
        <w:t xml:space="preserve">, </w:t>
      </w:r>
      <w:r w:rsidR="00FE6B8B" w:rsidRPr="00CC62FC">
        <w:rPr>
          <w:rFonts w:cs="Arial"/>
          <w:szCs w:val="24"/>
        </w:rPr>
        <w:t>for whom being identifiably ‘</w:t>
      </w:r>
      <w:proofErr w:type="spellStart"/>
      <w:r w:rsidR="00FE6B8B" w:rsidRPr="00CC62FC">
        <w:rPr>
          <w:rFonts w:cs="Arial"/>
          <w:szCs w:val="24"/>
        </w:rPr>
        <w:t>outed</w:t>
      </w:r>
      <w:proofErr w:type="spellEnd"/>
      <w:r w:rsidR="00FE6B8B" w:rsidRPr="00CC62FC">
        <w:rPr>
          <w:rFonts w:cs="Arial"/>
          <w:szCs w:val="24"/>
        </w:rPr>
        <w:t xml:space="preserve">’ is a serious safety concern (Grossman and </w:t>
      </w:r>
      <w:proofErr w:type="spellStart"/>
      <w:r w:rsidR="00FE6B8B" w:rsidRPr="00CC62FC">
        <w:rPr>
          <w:rFonts w:cs="Arial"/>
          <w:szCs w:val="24"/>
        </w:rPr>
        <w:t>D’augelli</w:t>
      </w:r>
      <w:proofErr w:type="spellEnd"/>
      <w:r w:rsidR="00FE6B8B" w:rsidRPr="00CC62FC">
        <w:rPr>
          <w:rFonts w:cs="Arial"/>
          <w:szCs w:val="24"/>
        </w:rPr>
        <w:t xml:space="preserve"> 2006: 123)</w:t>
      </w:r>
      <w:r w:rsidR="00E03252" w:rsidRPr="00CC62FC">
        <w:rPr>
          <w:rFonts w:cs="Arial"/>
          <w:szCs w:val="24"/>
        </w:rPr>
        <w:t xml:space="preserve">. </w:t>
      </w:r>
      <w:r w:rsidRPr="00CC62FC">
        <w:rPr>
          <w:rFonts w:cs="Arial"/>
          <w:szCs w:val="24"/>
        </w:rPr>
        <w:t>All but 2 respondents did choose to identify a subject area and all but 5 did explain their gender identity during the response.</w:t>
      </w:r>
      <w:r w:rsidRPr="00CC62FC">
        <w:rPr>
          <w:rStyle w:val="FootnoteReference"/>
          <w:rFonts w:cs="Arial"/>
          <w:szCs w:val="24"/>
        </w:rPr>
        <w:footnoteReference w:id="5"/>
      </w:r>
      <w:r w:rsidR="00E03252" w:rsidRPr="00CC62FC">
        <w:rPr>
          <w:rFonts w:cs="Arial"/>
          <w:szCs w:val="24"/>
        </w:rPr>
        <w:t xml:space="preserve"> </w:t>
      </w:r>
      <w:r w:rsidRPr="00CC62FC">
        <w:rPr>
          <w:rFonts w:cs="Arial"/>
          <w:szCs w:val="24"/>
        </w:rPr>
        <w:t xml:space="preserve">There was not enough evidence to suggest certain subject areas systematically performed worse than others in students’ perceptions of inclusivity; </w:t>
      </w:r>
      <w:r w:rsidR="00E03252" w:rsidRPr="00CC62FC">
        <w:rPr>
          <w:rFonts w:cs="Arial"/>
          <w:szCs w:val="24"/>
        </w:rPr>
        <w:t xml:space="preserve">rather, most observations were repeated across subjects. A repeated study with a larger sample might reveal finer-grained differences. One important contrast did emerge when comparing narratives by respondents who identified themselves as </w:t>
      </w:r>
      <w:proofErr w:type="gramStart"/>
      <w:r w:rsidR="00E03252" w:rsidRPr="00CC62FC">
        <w:rPr>
          <w:rFonts w:cs="Arial"/>
          <w:szCs w:val="24"/>
        </w:rPr>
        <w:t>trans</w:t>
      </w:r>
      <w:proofErr w:type="gramEnd"/>
      <w:r w:rsidR="00E03252" w:rsidRPr="00CC62FC">
        <w:rPr>
          <w:rFonts w:cs="Arial"/>
          <w:szCs w:val="24"/>
        </w:rPr>
        <w:t xml:space="preserve"> and those who did not: trans respondents generally commented in more detail on the personal as well as intellectual consequences of failed inclusion and on extra-curricular factors which in their view prevented universities offering trans students an inclusive environment. </w:t>
      </w:r>
      <w:r w:rsidR="00461885" w:rsidRPr="00CC62FC">
        <w:rPr>
          <w:rFonts w:cs="Arial"/>
          <w:szCs w:val="24"/>
        </w:rPr>
        <w:t xml:space="preserve">This, as the research will show, has implications for how universities should approach student participation in curriculum design. </w:t>
      </w:r>
    </w:p>
    <w:p w14:paraId="6FA91926" w14:textId="77777777" w:rsidR="007E643D" w:rsidRPr="00CC62FC" w:rsidRDefault="007E643D" w:rsidP="00D0651C">
      <w:pPr>
        <w:rPr>
          <w:rFonts w:cs="Arial"/>
          <w:b/>
          <w:bCs/>
          <w:szCs w:val="24"/>
        </w:rPr>
      </w:pPr>
    </w:p>
    <w:p w14:paraId="224B6655" w14:textId="2950D2F0" w:rsidR="00EC670E" w:rsidRPr="00CC62FC" w:rsidRDefault="001F52C3" w:rsidP="00D0651C">
      <w:pPr>
        <w:rPr>
          <w:rFonts w:cs="Arial"/>
          <w:i/>
          <w:iCs/>
          <w:szCs w:val="24"/>
        </w:rPr>
      </w:pPr>
      <w:r>
        <w:rPr>
          <w:rFonts w:cs="Arial"/>
          <w:i/>
          <w:iCs/>
          <w:szCs w:val="24"/>
        </w:rPr>
        <w:t xml:space="preserve">2.1 </w:t>
      </w:r>
      <w:r w:rsidR="007E643D" w:rsidRPr="00CC62FC">
        <w:rPr>
          <w:rFonts w:cs="Arial"/>
          <w:i/>
          <w:iCs/>
          <w:szCs w:val="24"/>
        </w:rPr>
        <w:t>Curriculum design</w:t>
      </w:r>
      <w:r w:rsidR="0034529A" w:rsidRPr="00CC62FC">
        <w:rPr>
          <w:rFonts w:cs="Arial"/>
          <w:i/>
          <w:iCs/>
          <w:szCs w:val="24"/>
        </w:rPr>
        <w:t xml:space="preserve"> </w:t>
      </w:r>
    </w:p>
    <w:p w14:paraId="1B5373DF" w14:textId="77777777" w:rsidR="00541F8F" w:rsidRPr="00CC62FC" w:rsidRDefault="00541F8F" w:rsidP="00EC670E">
      <w:pPr>
        <w:rPr>
          <w:rFonts w:cs="Arial"/>
          <w:szCs w:val="24"/>
        </w:rPr>
      </w:pPr>
    </w:p>
    <w:p w14:paraId="1AE7EBC0" w14:textId="6E498E35" w:rsidR="0054544D" w:rsidRDefault="00D77683" w:rsidP="007950A6">
      <w:pPr>
        <w:rPr>
          <w:rFonts w:cs="Arial"/>
          <w:szCs w:val="24"/>
        </w:rPr>
      </w:pPr>
      <w:r w:rsidRPr="00CC62FC">
        <w:rPr>
          <w:rFonts w:cs="Arial"/>
          <w:szCs w:val="24"/>
        </w:rPr>
        <w:t xml:space="preserve">When asked when (if at all) they remembered trans and non-binary issues being covered in their curriculum, no respondents who had had all their higher education in the UK reported more than a limited amount of inclusivity. 12 gave responses amounting to ‘never’ or ‘not at all’ (6 of these were embedded in longer narratives about problematic teaching). </w:t>
      </w:r>
      <w:r w:rsidR="002C4C34" w:rsidRPr="00CC62FC">
        <w:rPr>
          <w:rFonts w:cs="Arial"/>
          <w:szCs w:val="24"/>
        </w:rPr>
        <w:t>A History and Politics student who began studying in 2008 recalled no coverage until he started his Gender History MA. One social sciences postgraduate using the pseudonym ‘123’, studying in 2008–12, recalled several modules covering trans issues (in medical anthropology, anthropology of reproduction, state borders, cultural boundaries), potentially the best-integrated UK instance in the sample – as long as the content was up to date</w:t>
      </w:r>
      <w:r w:rsidR="007950A6" w:rsidRPr="00CC62FC">
        <w:rPr>
          <w:rFonts w:cs="Arial"/>
          <w:szCs w:val="24"/>
        </w:rPr>
        <w:t xml:space="preserve"> – and a similar range of topics to those suggested by Michel Boucher (2011: 73) as areas of Gender Studies where trans issues should be systematically integrated</w:t>
      </w:r>
      <w:r w:rsidR="002C4C34" w:rsidRPr="00CC62FC">
        <w:rPr>
          <w:rFonts w:cs="Arial"/>
          <w:szCs w:val="24"/>
        </w:rPr>
        <w:t xml:space="preserve">; yet even </w:t>
      </w:r>
      <w:r w:rsidR="007950A6" w:rsidRPr="00CC62FC">
        <w:rPr>
          <w:rFonts w:cs="Arial"/>
          <w:szCs w:val="24"/>
        </w:rPr>
        <w:t xml:space="preserve">she </w:t>
      </w:r>
      <w:r w:rsidR="002C4C34" w:rsidRPr="00CC62FC">
        <w:rPr>
          <w:rFonts w:cs="Arial"/>
          <w:szCs w:val="24"/>
        </w:rPr>
        <w:t xml:space="preserve">characterised this as ‘the little that was offered’ in her course. </w:t>
      </w:r>
      <w:r w:rsidRPr="00CC62FC">
        <w:rPr>
          <w:rFonts w:cs="Arial"/>
          <w:szCs w:val="24"/>
        </w:rPr>
        <w:t xml:space="preserve">3 </w:t>
      </w:r>
      <w:r w:rsidR="002C4C34" w:rsidRPr="00CC62FC">
        <w:rPr>
          <w:rFonts w:cs="Arial"/>
          <w:szCs w:val="24"/>
        </w:rPr>
        <w:t xml:space="preserve">respondents </w:t>
      </w:r>
      <w:r w:rsidR="0054544D" w:rsidRPr="00CC62FC">
        <w:rPr>
          <w:rFonts w:cs="Arial"/>
          <w:szCs w:val="24"/>
        </w:rPr>
        <w:t xml:space="preserve">(respectively studying in 2012–13, </w:t>
      </w:r>
      <w:r w:rsidR="0054544D" w:rsidRPr="00CC62FC">
        <w:rPr>
          <w:rFonts w:cs="Arial"/>
          <w:szCs w:val="24"/>
        </w:rPr>
        <w:lastRenderedPageBreak/>
        <w:t xml:space="preserve">2008–11 and 2011–present) </w:t>
      </w:r>
      <w:r w:rsidRPr="00CC62FC">
        <w:rPr>
          <w:rFonts w:cs="Arial"/>
          <w:szCs w:val="24"/>
        </w:rPr>
        <w:t xml:space="preserve">recalled one single reading or lecture on trans or non-binary topics in the course of their whole curriculum (‘a single article on queer IR [International Relations] which appeared as </w:t>
      </w:r>
      <w:proofErr w:type="spellStart"/>
      <w:r w:rsidRPr="00CC62FC">
        <w:rPr>
          <w:rFonts w:cs="Arial"/>
          <w:szCs w:val="24"/>
        </w:rPr>
        <w:t>non necessary</w:t>
      </w:r>
      <w:proofErr w:type="spellEnd"/>
      <w:r w:rsidRPr="00CC62FC">
        <w:rPr>
          <w:rFonts w:cs="Arial"/>
          <w:szCs w:val="24"/>
        </w:rPr>
        <w:t xml:space="preserve"> reading in my </w:t>
      </w:r>
      <w:proofErr w:type="spellStart"/>
      <w:r w:rsidRPr="00CC62FC">
        <w:rPr>
          <w:rFonts w:cs="Arial"/>
          <w:szCs w:val="24"/>
        </w:rPr>
        <w:t>ir</w:t>
      </w:r>
      <w:proofErr w:type="spellEnd"/>
      <w:r w:rsidRPr="00CC62FC">
        <w:rPr>
          <w:rFonts w:cs="Arial"/>
          <w:szCs w:val="24"/>
        </w:rPr>
        <w:t xml:space="preserve"> theory class’; ‘a third-year discussion of Judith Butler’s “Gender Trouble”’; ‘one [Psychology] lecture, concerning theories</w:t>
      </w:r>
      <w:r w:rsidR="002C4C34" w:rsidRPr="00CC62FC">
        <w:rPr>
          <w:rFonts w:cs="Arial"/>
          <w:szCs w:val="24"/>
        </w:rPr>
        <w:t xml:space="preserve"> of gender identity formation’).</w:t>
      </w:r>
      <w:r w:rsidR="00E01608" w:rsidRPr="00CC62FC">
        <w:rPr>
          <w:rFonts w:cs="Arial"/>
          <w:szCs w:val="24"/>
        </w:rPr>
        <w:t xml:space="preserve"> </w:t>
      </w:r>
    </w:p>
    <w:p w14:paraId="1CB8FFAE" w14:textId="77777777" w:rsidR="001F52C3" w:rsidRPr="00CC62FC" w:rsidRDefault="001F52C3" w:rsidP="007950A6">
      <w:pPr>
        <w:rPr>
          <w:rFonts w:cs="Arial"/>
          <w:szCs w:val="24"/>
        </w:rPr>
      </w:pPr>
    </w:p>
    <w:p w14:paraId="055B189F" w14:textId="5B439804" w:rsidR="002C4C34" w:rsidRPr="00CC62FC" w:rsidRDefault="00E01608" w:rsidP="001F52C3">
      <w:pPr>
        <w:rPr>
          <w:rFonts w:cs="Arial"/>
          <w:szCs w:val="24"/>
        </w:rPr>
      </w:pPr>
      <w:r w:rsidRPr="00CC62FC">
        <w:rPr>
          <w:rFonts w:cs="Arial"/>
          <w:szCs w:val="24"/>
        </w:rPr>
        <w:t xml:space="preserve">2 </w:t>
      </w:r>
      <w:r w:rsidR="002C4C34" w:rsidRPr="00CC62FC">
        <w:rPr>
          <w:rFonts w:cs="Arial"/>
          <w:szCs w:val="24"/>
        </w:rPr>
        <w:t xml:space="preserve">of these </w:t>
      </w:r>
      <w:r w:rsidR="0054544D" w:rsidRPr="00CC62FC">
        <w:rPr>
          <w:rFonts w:cs="Arial"/>
          <w:szCs w:val="24"/>
        </w:rPr>
        <w:t xml:space="preserve">3 respondents </w:t>
      </w:r>
      <w:r w:rsidRPr="00CC62FC">
        <w:rPr>
          <w:rFonts w:cs="Arial"/>
          <w:szCs w:val="24"/>
        </w:rPr>
        <w:t xml:space="preserve">considered </w:t>
      </w:r>
      <w:r w:rsidR="0054544D" w:rsidRPr="00CC62FC">
        <w:rPr>
          <w:rFonts w:cs="Arial"/>
          <w:szCs w:val="24"/>
        </w:rPr>
        <w:t xml:space="preserve">that even this </w:t>
      </w:r>
      <w:r w:rsidRPr="00CC62FC">
        <w:rPr>
          <w:rFonts w:cs="Arial"/>
          <w:szCs w:val="24"/>
        </w:rPr>
        <w:t>content had been covered in a limited way</w:t>
      </w:r>
      <w:r w:rsidR="0054544D" w:rsidRPr="00CC62FC">
        <w:rPr>
          <w:rFonts w:cs="Arial"/>
          <w:szCs w:val="24"/>
        </w:rPr>
        <w:t xml:space="preserve">. For instance, Daisy, </w:t>
      </w:r>
      <w:r w:rsidR="0054544D" w:rsidRPr="00CC62FC">
        <w:rPr>
          <w:szCs w:val="24"/>
        </w:rPr>
        <w:t xml:space="preserve">a ‘closeted non-binary/male-presenting’ Film and Literature student between 2008 and 2011, recalled </w:t>
      </w:r>
      <w:r w:rsidRPr="00CC62FC">
        <w:rPr>
          <w:rFonts w:cs="Arial"/>
          <w:szCs w:val="24"/>
        </w:rPr>
        <w:t>the Butler discussion</w:t>
      </w:r>
      <w:r w:rsidR="0054544D" w:rsidRPr="00CC62FC">
        <w:rPr>
          <w:rFonts w:cs="Arial"/>
          <w:szCs w:val="24"/>
        </w:rPr>
        <w:t xml:space="preserve"> </w:t>
      </w:r>
      <w:r w:rsidRPr="00CC62FC">
        <w:rPr>
          <w:rFonts w:cs="Arial"/>
          <w:szCs w:val="24"/>
        </w:rPr>
        <w:t xml:space="preserve">‘mostly focussed on the idea of drag performance, not day-to-day </w:t>
      </w:r>
      <w:r w:rsidR="002C4C34" w:rsidRPr="00CC62FC">
        <w:rPr>
          <w:rFonts w:cs="Arial"/>
          <w:szCs w:val="24"/>
        </w:rPr>
        <w:t>life as trans or anything else’</w:t>
      </w:r>
      <w:r w:rsidRPr="00CC62FC">
        <w:rPr>
          <w:rFonts w:cs="Arial"/>
          <w:szCs w:val="24"/>
        </w:rPr>
        <w:t xml:space="preserve">. </w:t>
      </w:r>
      <w:r w:rsidR="00BE73FF" w:rsidRPr="00CC62FC">
        <w:rPr>
          <w:rFonts w:cs="Arial"/>
          <w:szCs w:val="24"/>
        </w:rPr>
        <w:t xml:space="preserve">This stage of Butler’s work on gender </w:t>
      </w:r>
      <w:r w:rsidR="00910BC3" w:rsidRPr="00CC62FC">
        <w:rPr>
          <w:rFonts w:cs="Arial"/>
          <w:szCs w:val="24"/>
        </w:rPr>
        <w:t xml:space="preserve">(Butler 1990) </w:t>
      </w:r>
      <w:r w:rsidR="00BE73FF" w:rsidRPr="00CC62FC">
        <w:rPr>
          <w:rFonts w:cs="Arial"/>
          <w:szCs w:val="24"/>
        </w:rPr>
        <w:t xml:space="preserve">was foundational in Gender Studies but severely criticised by </w:t>
      </w:r>
      <w:proofErr w:type="gramStart"/>
      <w:r w:rsidR="00BE73FF" w:rsidRPr="00CC62FC">
        <w:rPr>
          <w:rFonts w:cs="Arial"/>
          <w:szCs w:val="24"/>
        </w:rPr>
        <w:t>trans</w:t>
      </w:r>
      <w:proofErr w:type="gramEnd"/>
      <w:r w:rsidR="00BE73FF" w:rsidRPr="00CC62FC">
        <w:rPr>
          <w:rFonts w:cs="Arial"/>
          <w:szCs w:val="24"/>
        </w:rPr>
        <w:t xml:space="preserve"> scholars for </w:t>
      </w:r>
      <w:proofErr w:type="spellStart"/>
      <w:r w:rsidR="002C4C34" w:rsidRPr="00CC62FC">
        <w:rPr>
          <w:rFonts w:cs="Arial"/>
          <w:szCs w:val="24"/>
        </w:rPr>
        <w:t>instrumentalising</w:t>
      </w:r>
      <w:proofErr w:type="spellEnd"/>
      <w:r w:rsidR="002C4C34" w:rsidRPr="00CC62FC">
        <w:rPr>
          <w:rFonts w:cs="Arial"/>
          <w:szCs w:val="24"/>
        </w:rPr>
        <w:t xml:space="preserve"> trans people in theoretical exercises that did not contribute to emancipating trans people (Prosser 1998: 21–60</w:t>
      </w:r>
      <w:r w:rsidR="00B56B55" w:rsidRPr="00CC62FC">
        <w:rPr>
          <w:rFonts w:cs="Arial"/>
          <w:szCs w:val="24"/>
        </w:rPr>
        <w:t xml:space="preserve">; </w:t>
      </w:r>
      <w:proofErr w:type="spellStart"/>
      <w:r w:rsidR="00910BC3" w:rsidRPr="00CC62FC">
        <w:rPr>
          <w:rFonts w:cs="Arial"/>
          <w:szCs w:val="24"/>
        </w:rPr>
        <w:t>Currah</w:t>
      </w:r>
      <w:proofErr w:type="spellEnd"/>
      <w:r w:rsidR="00910BC3" w:rsidRPr="00CC62FC">
        <w:rPr>
          <w:rFonts w:cs="Arial"/>
          <w:szCs w:val="24"/>
        </w:rPr>
        <w:t xml:space="preserve"> 2001: 180–2; </w:t>
      </w:r>
      <w:r w:rsidR="00B56B55" w:rsidRPr="00CC62FC">
        <w:rPr>
          <w:rFonts w:cs="Arial"/>
          <w:szCs w:val="24"/>
        </w:rPr>
        <w:t>Connell 2012</w:t>
      </w:r>
      <w:r w:rsidR="002C4C34" w:rsidRPr="00CC62FC">
        <w:rPr>
          <w:rFonts w:cs="Arial"/>
          <w:szCs w:val="24"/>
        </w:rPr>
        <w:t>) and especially trans women (Namaste 2009) – an argument that would be pedagogically valuable to incorporate</w:t>
      </w:r>
      <w:r w:rsidR="00BE73FF" w:rsidRPr="00CC62FC">
        <w:rPr>
          <w:rFonts w:cs="Arial"/>
          <w:szCs w:val="24"/>
        </w:rPr>
        <w:t>.</w:t>
      </w:r>
      <w:r w:rsidR="00BE73FF" w:rsidRPr="00CC62FC">
        <w:rPr>
          <w:rStyle w:val="FootnoteReference"/>
          <w:rFonts w:cs="Arial"/>
          <w:szCs w:val="24"/>
        </w:rPr>
        <w:footnoteReference w:id="6"/>
      </w:r>
      <w:r w:rsidR="00BE73FF" w:rsidRPr="00CC62FC">
        <w:rPr>
          <w:rFonts w:cs="Arial"/>
          <w:szCs w:val="24"/>
        </w:rPr>
        <w:t xml:space="preserve"> </w:t>
      </w:r>
    </w:p>
    <w:p w14:paraId="00357C6C" w14:textId="77777777" w:rsidR="001F52C3" w:rsidRDefault="001F52C3" w:rsidP="001F52C3">
      <w:pPr>
        <w:rPr>
          <w:rFonts w:cs="Arial"/>
          <w:szCs w:val="24"/>
        </w:rPr>
      </w:pPr>
    </w:p>
    <w:p w14:paraId="21B97467" w14:textId="7B1F3285" w:rsidR="00D77683" w:rsidRPr="00CC62FC" w:rsidRDefault="00E01608" w:rsidP="00910FBD">
      <w:pPr>
        <w:rPr>
          <w:rFonts w:cs="Arial"/>
          <w:szCs w:val="24"/>
        </w:rPr>
      </w:pPr>
      <w:r w:rsidRPr="00CC62FC">
        <w:rPr>
          <w:rFonts w:cs="Arial"/>
          <w:szCs w:val="24"/>
        </w:rPr>
        <w:t xml:space="preserve">The most positive report of </w:t>
      </w:r>
      <w:proofErr w:type="gramStart"/>
      <w:r w:rsidRPr="00CC62FC">
        <w:rPr>
          <w:rFonts w:cs="Arial"/>
          <w:szCs w:val="24"/>
        </w:rPr>
        <w:t>trans</w:t>
      </w:r>
      <w:proofErr w:type="gramEnd"/>
      <w:r w:rsidRPr="00CC62FC">
        <w:rPr>
          <w:rFonts w:cs="Arial"/>
          <w:szCs w:val="24"/>
        </w:rPr>
        <w:t xml:space="preserve"> inclusivity in the cur</w:t>
      </w:r>
      <w:r w:rsidR="007E643D" w:rsidRPr="00CC62FC">
        <w:rPr>
          <w:rFonts w:cs="Arial"/>
          <w:szCs w:val="24"/>
        </w:rPr>
        <w:t>riculum came from Tuesday, who</w:t>
      </w:r>
      <w:r w:rsidRPr="00CC62FC">
        <w:rPr>
          <w:rFonts w:cs="Arial"/>
          <w:szCs w:val="24"/>
        </w:rPr>
        <w:t xml:space="preserve"> </w:t>
      </w:r>
      <w:r w:rsidR="007E643D" w:rsidRPr="00CC62FC">
        <w:rPr>
          <w:rFonts w:cs="Arial"/>
          <w:szCs w:val="24"/>
        </w:rPr>
        <w:t xml:space="preserve">began </w:t>
      </w:r>
      <w:r w:rsidRPr="00CC62FC">
        <w:rPr>
          <w:rFonts w:cs="Arial"/>
          <w:szCs w:val="24"/>
        </w:rPr>
        <w:t>underg</w:t>
      </w:r>
      <w:r w:rsidR="00D0651C" w:rsidRPr="00CC62FC">
        <w:rPr>
          <w:rFonts w:cs="Arial"/>
          <w:szCs w:val="24"/>
        </w:rPr>
        <w:t>raduate studies in the USA</w:t>
      </w:r>
      <w:r w:rsidR="007E643D" w:rsidRPr="00CC62FC">
        <w:rPr>
          <w:rFonts w:cs="Arial"/>
          <w:szCs w:val="24"/>
        </w:rPr>
        <w:t xml:space="preserve"> in 2010 and subsequently became a postgraduate in Scotland</w:t>
      </w:r>
      <w:r w:rsidR="00D0651C" w:rsidRPr="00CC62FC">
        <w:rPr>
          <w:rFonts w:cs="Arial"/>
          <w:szCs w:val="24"/>
        </w:rPr>
        <w:t>:</w:t>
      </w:r>
      <w:r w:rsidRPr="00CC62FC">
        <w:rPr>
          <w:rFonts w:cs="Arial"/>
          <w:szCs w:val="24"/>
        </w:rPr>
        <w:t xml:space="preserve"> </w:t>
      </w:r>
    </w:p>
    <w:p w14:paraId="32A0EB8F" w14:textId="77777777" w:rsidR="00E01608" w:rsidRPr="00CC62FC" w:rsidRDefault="00E01608" w:rsidP="00E01608">
      <w:pPr>
        <w:rPr>
          <w:rFonts w:cs="Arial"/>
          <w:szCs w:val="24"/>
        </w:rPr>
      </w:pPr>
    </w:p>
    <w:p w14:paraId="62799B19" w14:textId="63338A34" w:rsidR="00E01608" w:rsidRPr="00CC62FC" w:rsidRDefault="00E01608" w:rsidP="00D0651C">
      <w:pPr>
        <w:ind w:left="567" w:right="567"/>
        <w:rPr>
          <w:rFonts w:cs="Arial"/>
          <w:szCs w:val="24"/>
        </w:rPr>
      </w:pPr>
      <w:r w:rsidRPr="00CC62FC">
        <w:rPr>
          <w:szCs w:val="24"/>
        </w:rPr>
        <w:t xml:space="preserve">The </w:t>
      </w:r>
      <w:r w:rsidR="007E643D" w:rsidRPr="00CC62FC">
        <w:rPr>
          <w:szCs w:val="24"/>
        </w:rPr>
        <w:t xml:space="preserve">[US] </w:t>
      </w:r>
      <w:r w:rsidRPr="00CC62FC">
        <w:rPr>
          <w:szCs w:val="24"/>
        </w:rPr>
        <w:t xml:space="preserve">department had an openly trans lecturer </w:t>
      </w:r>
      <w:r w:rsidR="00D0651C" w:rsidRPr="00CC62FC">
        <w:rPr>
          <w:szCs w:val="24"/>
        </w:rPr>
        <w:t xml:space="preserve">[…] </w:t>
      </w:r>
      <w:r w:rsidRPr="00CC62FC">
        <w:rPr>
          <w:szCs w:val="24"/>
        </w:rPr>
        <w:t>She taught mostly intro level wome</w:t>
      </w:r>
      <w:r w:rsidR="00D0651C" w:rsidRPr="00CC62FC">
        <w:rPr>
          <w:szCs w:val="24"/>
        </w:rPr>
        <w:t>n’</w:t>
      </w:r>
      <w:r w:rsidRPr="00CC62FC">
        <w:rPr>
          <w:szCs w:val="24"/>
        </w:rPr>
        <w:t>s studies classes in a</w:t>
      </w:r>
      <w:r w:rsidR="00D0651C" w:rsidRPr="00CC62FC">
        <w:rPr>
          <w:szCs w:val="24"/>
        </w:rPr>
        <w:t xml:space="preserve"> </w:t>
      </w:r>
      <w:r w:rsidRPr="00CC62FC">
        <w:rPr>
          <w:szCs w:val="24"/>
        </w:rPr>
        <w:t>lecture format, so we read various thinking</w:t>
      </w:r>
      <w:r w:rsidR="00D0651C" w:rsidRPr="00CC62FC">
        <w:rPr>
          <w:szCs w:val="24"/>
        </w:rPr>
        <w:t xml:space="preserve"> </w:t>
      </w:r>
      <w:r w:rsidRPr="00CC62FC">
        <w:rPr>
          <w:szCs w:val="24"/>
        </w:rPr>
        <w:t>about the trans experience and it was</w:t>
      </w:r>
      <w:r w:rsidR="00D0651C" w:rsidRPr="00CC62FC">
        <w:rPr>
          <w:szCs w:val="24"/>
        </w:rPr>
        <w:t xml:space="preserve"> </w:t>
      </w:r>
      <w:r w:rsidRPr="00CC62FC">
        <w:rPr>
          <w:szCs w:val="24"/>
        </w:rPr>
        <w:t>covered in lectures (circa 2008/9).</w:t>
      </w:r>
      <w:r w:rsidR="00D0651C" w:rsidRPr="00CC62FC">
        <w:rPr>
          <w:szCs w:val="24"/>
        </w:rPr>
        <w:t xml:space="preserve"> […] I recall reading about </w:t>
      </w:r>
      <w:proofErr w:type="gramStart"/>
      <w:r w:rsidR="00D0651C" w:rsidRPr="00CC62FC">
        <w:rPr>
          <w:szCs w:val="24"/>
        </w:rPr>
        <w:t>trans</w:t>
      </w:r>
      <w:proofErr w:type="gramEnd"/>
      <w:r w:rsidR="00D0651C" w:rsidRPr="00CC62FC">
        <w:rPr>
          <w:szCs w:val="24"/>
        </w:rPr>
        <w:t xml:space="preserve"> identity in more advanced modules as well as introductory modules (often through discussions of </w:t>
      </w:r>
      <w:proofErr w:type="spellStart"/>
      <w:r w:rsidR="00D0651C" w:rsidRPr="00CC62FC">
        <w:rPr>
          <w:szCs w:val="24"/>
        </w:rPr>
        <w:t>intersectionality</w:t>
      </w:r>
      <w:proofErr w:type="spellEnd"/>
      <w:r w:rsidR="00D0651C" w:rsidRPr="00CC62FC">
        <w:rPr>
          <w:szCs w:val="24"/>
        </w:rPr>
        <w:t>, e.g. experiences [of] black trans women). I took a module called Queer Lit which covered some of this as well!</w:t>
      </w:r>
    </w:p>
    <w:p w14:paraId="796AE329" w14:textId="77777777" w:rsidR="00D0651C" w:rsidRPr="00CC62FC" w:rsidRDefault="00D0651C" w:rsidP="00D0651C">
      <w:pPr>
        <w:rPr>
          <w:rFonts w:cs="Arial"/>
          <w:szCs w:val="24"/>
        </w:rPr>
      </w:pPr>
    </w:p>
    <w:p w14:paraId="1D4B6656" w14:textId="33F94535" w:rsidR="00D0651C" w:rsidRPr="00CC62FC" w:rsidRDefault="00D0651C" w:rsidP="00D0651C">
      <w:pPr>
        <w:rPr>
          <w:rFonts w:cs="Arial"/>
          <w:szCs w:val="24"/>
        </w:rPr>
      </w:pPr>
      <w:r w:rsidRPr="00CC62FC">
        <w:rPr>
          <w:rFonts w:cs="Arial"/>
          <w:szCs w:val="24"/>
        </w:rPr>
        <w:t xml:space="preserve">Tuesday could remember at least four modules with </w:t>
      </w:r>
      <w:proofErr w:type="gramStart"/>
      <w:r w:rsidRPr="00CC62FC">
        <w:rPr>
          <w:rFonts w:cs="Arial"/>
          <w:szCs w:val="24"/>
        </w:rPr>
        <w:t>trans</w:t>
      </w:r>
      <w:proofErr w:type="gramEnd"/>
      <w:r w:rsidRPr="00CC62FC">
        <w:rPr>
          <w:rFonts w:cs="Arial"/>
          <w:szCs w:val="24"/>
        </w:rPr>
        <w:t xml:space="preserve"> content and authors, and considered the content had been ‘very cutting edge’. She praised the curriculum’s ability to make students:</w:t>
      </w:r>
    </w:p>
    <w:p w14:paraId="0597A8BE" w14:textId="77777777" w:rsidR="00D0651C" w:rsidRPr="00CC62FC" w:rsidRDefault="00D0651C" w:rsidP="00D0651C">
      <w:pPr>
        <w:rPr>
          <w:rFonts w:cs="Arial"/>
          <w:szCs w:val="24"/>
        </w:rPr>
      </w:pPr>
    </w:p>
    <w:p w14:paraId="65DB5812" w14:textId="6C294BDA" w:rsidR="00841135" w:rsidRPr="00CC62FC" w:rsidRDefault="00D0651C" w:rsidP="00D0651C">
      <w:pPr>
        <w:ind w:left="567" w:right="567"/>
        <w:rPr>
          <w:rFonts w:cs="Arial"/>
          <w:szCs w:val="24"/>
        </w:rPr>
      </w:pPr>
      <w:proofErr w:type="gramStart"/>
      <w:r w:rsidRPr="00CC62FC">
        <w:rPr>
          <w:szCs w:val="24"/>
        </w:rPr>
        <w:t>consc</w:t>
      </w:r>
      <w:r w:rsidR="00DE1756" w:rsidRPr="00CC62FC">
        <w:rPr>
          <w:szCs w:val="24"/>
        </w:rPr>
        <w:t>ious</w:t>
      </w:r>
      <w:proofErr w:type="gramEnd"/>
      <w:r w:rsidR="00DE1756" w:rsidRPr="00CC62FC">
        <w:rPr>
          <w:szCs w:val="24"/>
        </w:rPr>
        <w:t xml:space="preserve"> of the fact the world wasn’</w:t>
      </w:r>
      <w:r w:rsidRPr="00CC62FC">
        <w:rPr>
          <w:szCs w:val="24"/>
        </w:rPr>
        <w:t xml:space="preserve">t just binary (M/F) and that queer identity is a thing and it matters! I'm sure it was very eye opening for some if not many students (we lived in and were by &amp; large from) a very rural area. I remember being really impressed that we were talking about complex </w:t>
      </w:r>
      <w:proofErr w:type="gramStart"/>
      <w:r w:rsidRPr="00CC62FC">
        <w:rPr>
          <w:szCs w:val="24"/>
        </w:rPr>
        <w:t>trans</w:t>
      </w:r>
      <w:proofErr w:type="gramEnd"/>
      <w:r w:rsidRPr="00CC62FC">
        <w:rPr>
          <w:szCs w:val="24"/>
        </w:rPr>
        <w:t xml:space="preserve"> &amp; </w:t>
      </w:r>
      <w:proofErr w:type="spellStart"/>
      <w:r w:rsidRPr="00CC62FC">
        <w:rPr>
          <w:szCs w:val="24"/>
        </w:rPr>
        <w:t>nonbinary</w:t>
      </w:r>
      <w:proofErr w:type="spellEnd"/>
      <w:r w:rsidRPr="00CC62FC">
        <w:rPr>
          <w:szCs w:val="24"/>
        </w:rPr>
        <w:t xml:space="preserve"> identities – felt very contemporary.</w:t>
      </w:r>
      <w:r w:rsidRPr="00CC62FC">
        <w:rPr>
          <w:rFonts w:cs="Arial"/>
          <w:szCs w:val="24"/>
        </w:rPr>
        <w:t xml:space="preserve"> </w:t>
      </w:r>
    </w:p>
    <w:p w14:paraId="50AF76C8" w14:textId="77777777" w:rsidR="00D0651C" w:rsidRPr="00CC62FC" w:rsidRDefault="00D0651C" w:rsidP="00EC670E">
      <w:pPr>
        <w:rPr>
          <w:rFonts w:cs="Arial"/>
          <w:szCs w:val="24"/>
        </w:rPr>
      </w:pPr>
    </w:p>
    <w:p w14:paraId="4600425F" w14:textId="1CC4F833" w:rsidR="00D0651C" w:rsidRPr="00CC62FC" w:rsidRDefault="00D0651C" w:rsidP="00D0651C">
      <w:pPr>
        <w:rPr>
          <w:rFonts w:cs="Arial"/>
          <w:szCs w:val="24"/>
        </w:rPr>
      </w:pPr>
      <w:r w:rsidRPr="00CC62FC">
        <w:rPr>
          <w:rFonts w:cs="Arial"/>
          <w:szCs w:val="24"/>
        </w:rPr>
        <w:t xml:space="preserve">Tuesday had benefited from a knowledgeable instructor and from a programme structure (common in North America but rarer in the UK) that enabled students of other subjects to participate in gender/women’s studies classes. </w:t>
      </w:r>
    </w:p>
    <w:p w14:paraId="1EF2F648" w14:textId="77777777" w:rsidR="001F52C3" w:rsidRDefault="001F52C3" w:rsidP="001F52C3">
      <w:pPr>
        <w:autoSpaceDE w:val="0"/>
        <w:autoSpaceDN w:val="0"/>
        <w:adjustRightInd w:val="0"/>
        <w:rPr>
          <w:szCs w:val="24"/>
        </w:rPr>
      </w:pPr>
    </w:p>
    <w:p w14:paraId="31E6707F" w14:textId="59C5EC33" w:rsidR="007E643D" w:rsidRPr="00CC62FC" w:rsidRDefault="007E643D" w:rsidP="001F52C3">
      <w:pPr>
        <w:autoSpaceDE w:val="0"/>
        <w:autoSpaceDN w:val="0"/>
        <w:adjustRightInd w:val="0"/>
        <w:rPr>
          <w:rFonts w:cs="Times New Roman"/>
          <w:szCs w:val="24"/>
        </w:rPr>
      </w:pPr>
      <w:r w:rsidRPr="00CC62FC">
        <w:rPr>
          <w:szCs w:val="24"/>
        </w:rPr>
        <w:t xml:space="preserve">Other respondents commonly considered that their curriculum had missed opportunities for </w:t>
      </w:r>
      <w:proofErr w:type="gramStart"/>
      <w:r w:rsidRPr="00CC62FC">
        <w:rPr>
          <w:szCs w:val="24"/>
        </w:rPr>
        <w:t>trans</w:t>
      </w:r>
      <w:proofErr w:type="gramEnd"/>
      <w:r w:rsidRPr="00CC62FC">
        <w:rPr>
          <w:szCs w:val="24"/>
        </w:rPr>
        <w:t xml:space="preserve"> and non-binary inclusion. As Daisy</w:t>
      </w:r>
      <w:r w:rsidR="0054544D" w:rsidRPr="00CC62FC">
        <w:rPr>
          <w:szCs w:val="24"/>
        </w:rPr>
        <w:t xml:space="preserve"> </w:t>
      </w:r>
      <w:r w:rsidRPr="00CC62FC">
        <w:rPr>
          <w:szCs w:val="24"/>
        </w:rPr>
        <w:t xml:space="preserve">commented: ‘Given that gender – representations of femininity, masculinity, </w:t>
      </w:r>
      <w:proofErr w:type="spellStart"/>
      <w:r w:rsidRPr="00CC62FC">
        <w:rPr>
          <w:szCs w:val="24"/>
        </w:rPr>
        <w:t>etc</w:t>
      </w:r>
      <w:proofErr w:type="spellEnd"/>
      <w:r w:rsidRPr="00CC62FC">
        <w:rPr>
          <w:szCs w:val="24"/>
        </w:rPr>
        <w:t xml:space="preserve"> – was a frequent theme under study on my course, there would definitely have been opportunity for trans voices and experiences to be included’. This recurred across subject areas. Connor, a </w:t>
      </w:r>
      <w:proofErr w:type="spellStart"/>
      <w:r w:rsidRPr="00CC62FC">
        <w:rPr>
          <w:szCs w:val="24"/>
        </w:rPr>
        <w:t>genderqueer</w:t>
      </w:r>
      <w:proofErr w:type="spellEnd"/>
      <w:r w:rsidRPr="00CC62FC">
        <w:rPr>
          <w:szCs w:val="24"/>
        </w:rPr>
        <w:t xml:space="preserve"> student who began </w:t>
      </w:r>
      <w:r w:rsidRPr="00CC62FC">
        <w:rPr>
          <w:szCs w:val="24"/>
        </w:rPr>
        <w:lastRenderedPageBreak/>
        <w:t>studying Politics, Philosophy and Economics in 2013, identified political theory modules (which covered feminism) and political sociology modules (which discussed ‘the way gender, race, nationality, etc. affects political behaviour’) as sites where ‘transgender issues</w:t>
      </w:r>
      <w:r w:rsidRPr="00CC62FC">
        <w:rPr>
          <w:rFonts w:cs="Times New Roman"/>
          <w:szCs w:val="24"/>
        </w:rPr>
        <w:t xml:space="preserve"> and authors’ could and should have been included but were ‘completely ignored’. </w:t>
      </w:r>
      <w:r w:rsidR="008218D7" w:rsidRPr="00CC62FC">
        <w:rPr>
          <w:rFonts w:cs="Times New Roman"/>
          <w:szCs w:val="24"/>
        </w:rPr>
        <w:t xml:space="preserve">Jade, a </w:t>
      </w:r>
      <w:proofErr w:type="spellStart"/>
      <w:r w:rsidR="008218D7" w:rsidRPr="00CC62FC">
        <w:rPr>
          <w:rFonts w:cs="Times New Roman"/>
          <w:szCs w:val="24"/>
        </w:rPr>
        <w:t>cis</w:t>
      </w:r>
      <w:proofErr w:type="spellEnd"/>
      <w:r w:rsidR="008218D7" w:rsidRPr="00CC62FC">
        <w:rPr>
          <w:rFonts w:cs="Times New Roman"/>
          <w:szCs w:val="24"/>
        </w:rPr>
        <w:t xml:space="preserve"> Psychology student in 2009–12, felt that social psychology and evolutionary psychology </w:t>
      </w:r>
      <w:r w:rsidR="00B37304" w:rsidRPr="00CC62FC">
        <w:rPr>
          <w:rFonts w:cs="Times New Roman"/>
          <w:szCs w:val="24"/>
        </w:rPr>
        <w:t xml:space="preserve">modules could have deconstructed, rather than </w:t>
      </w:r>
      <w:proofErr w:type="spellStart"/>
      <w:r w:rsidR="00B37304" w:rsidRPr="00CC62FC">
        <w:rPr>
          <w:rFonts w:cs="Times New Roman"/>
          <w:szCs w:val="24"/>
        </w:rPr>
        <w:t>essentialised</w:t>
      </w:r>
      <w:proofErr w:type="spellEnd"/>
      <w:r w:rsidR="00B37304" w:rsidRPr="00CC62FC">
        <w:rPr>
          <w:rFonts w:cs="Times New Roman"/>
          <w:szCs w:val="24"/>
        </w:rPr>
        <w:t>, differences between ‘men’ and ‘women’, and that introductory modules could have ‘</w:t>
      </w:r>
      <w:r w:rsidR="00B37304" w:rsidRPr="00CC62FC">
        <w:rPr>
          <w:szCs w:val="24"/>
        </w:rPr>
        <w:t>explain[</w:t>
      </w:r>
      <w:proofErr w:type="spellStart"/>
      <w:r w:rsidR="00B37304" w:rsidRPr="00CC62FC">
        <w:rPr>
          <w:szCs w:val="24"/>
        </w:rPr>
        <w:t>ed</w:t>
      </w:r>
      <w:proofErr w:type="spellEnd"/>
      <w:r w:rsidR="00B37304" w:rsidRPr="00CC62FC">
        <w:rPr>
          <w:szCs w:val="24"/>
        </w:rPr>
        <w:t xml:space="preserve">] that many studies are based on white, </w:t>
      </w:r>
      <w:proofErr w:type="spellStart"/>
      <w:r w:rsidR="00B37304" w:rsidRPr="00CC62FC">
        <w:rPr>
          <w:szCs w:val="24"/>
        </w:rPr>
        <w:t>cisgendered</w:t>
      </w:r>
      <w:proofErr w:type="spellEnd"/>
      <w:r w:rsidR="00B37304" w:rsidRPr="00CC62FC">
        <w:rPr>
          <w:szCs w:val="24"/>
        </w:rPr>
        <w:t xml:space="preserve"> and middle class people, and […] consider[</w:t>
      </w:r>
      <w:proofErr w:type="spellStart"/>
      <w:r w:rsidR="00B37304" w:rsidRPr="00CC62FC">
        <w:rPr>
          <w:szCs w:val="24"/>
        </w:rPr>
        <w:t>ed</w:t>
      </w:r>
      <w:proofErr w:type="spellEnd"/>
      <w:r w:rsidR="00B37304" w:rsidRPr="00CC62FC">
        <w:rPr>
          <w:szCs w:val="24"/>
        </w:rPr>
        <w:t xml:space="preserve">] how demographics are represented’. </w:t>
      </w:r>
      <w:r w:rsidRPr="00CC62FC">
        <w:rPr>
          <w:rFonts w:cs="Times New Roman"/>
          <w:szCs w:val="24"/>
        </w:rPr>
        <w:t>Laura, an Archaeology student who studied in 2010–14, wanted her curriculum to have ‘[a]</w:t>
      </w:r>
      <w:proofErr w:type="spellStart"/>
      <w:r w:rsidRPr="00CC62FC">
        <w:rPr>
          <w:rFonts w:cs="Times New Roman"/>
          <w:szCs w:val="24"/>
        </w:rPr>
        <w:t>cknowledge</w:t>
      </w:r>
      <w:proofErr w:type="spellEnd"/>
      <w:r w:rsidRPr="00CC62FC">
        <w:rPr>
          <w:rFonts w:cs="Times New Roman"/>
          <w:szCs w:val="24"/>
        </w:rPr>
        <w:t xml:space="preserve">[d] the many presentations of gender identity in archaeology as the norm, rather than binary concepts and </w:t>
      </w:r>
      <w:r w:rsidR="002450B3" w:rsidRPr="00CC62FC">
        <w:rPr>
          <w:rFonts w:cs="Times New Roman"/>
          <w:szCs w:val="24"/>
        </w:rPr>
        <w:t xml:space="preserve">[presenting] archaeology as a study of “mankind”’ (suggesting that trans inclusivity would go hand in hand with undoing sexism in the curriculum). E, a History and English student in 2006–9, considered her curriculum had presented a </w:t>
      </w:r>
      <w:proofErr w:type="spellStart"/>
      <w:r w:rsidR="002450B3" w:rsidRPr="00CC62FC">
        <w:rPr>
          <w:rFonts w:cs="Times New Roman"/>
          <w:szCs w:val="24"/>
        </w:rPr>
        <w:t>binaristic</w:t>
      </w:r>
      <w:proofErr w:type="spellEnd"/>
      <w:r w:rsidR="002450B3" w:rsidRPr="00CC62FC">
        <w:rPr>
          <w:rFonts w:cs="Times New Roman"/>
          <w:szCs w:val="24"/>
        </w:rPr>
        <w:t xml:space="preserve"> and </w:t>
      </w:r>
      <w:proofErr w:type="spellStart"/>
      <w:r w:rsidR="002450B3" w:rsidRPr="00CC62FC">
        <w:rPr>
          <w:rFonts w:cs="Times New Roman"/>
          <w:szCs w:val="24"/>
        </w:rPr>
        <w:t>cisnormative</w:t>
      </w:r>
      <w:proofErr w:type="spellEnd"/>
      <w:r w:rsidR="002450B3" w:rsidRPr="00CC62FC">
        <w:rPr>
          <w:rFonts w:cs="Times New Roman"/>
          <w:szCs w:val="24"/>
        </w:rPr>
        <w:t xml:space="preserve"> concept of gender throughout:</w:t>
      </w:r>
    </w:p>
    <w:p w14:paraId="01A99CD7" w14:textId="77777777" w:rsidR="002450B3" w:rsidRPr="00CC62FC" w:rsidRDefault="002450B3" w:rsidP="002450B3">
      <w:pPr>
        <w:rPr>
          <w:szCs w:val="24"/>
        </w:rPr>
      </w:pPr>
    </w:p>
    <w:p w14:paraId="243FC326" w14:textId="67AD5469" w:rsidR="002450B3" w:rsidRPr="00CC62FC" w:rsidRDefault="002450B3" w:rsidP="002450B3">
      <w:pPr>
        <w:ind w:left="567" w:right="567"/>
        <w:rPr>
          <w:szCs w:val="24"/>
        </w:rPr>
      </w:pPr>
      <w:proofErr w:type="gramStart"/>
      <w:r w:rsidRPr="00CC62FC">
        <w:rPr>
          <w:szCs w:val="24"/>
        </w:rPr>
        <w:t>even</w:t>
      </w:r>
      <w:proofErr w:type="gramEnd"/>
      <w:r w:rsidRPr="00CC62FC">
        <w:rPr>
          <w:szCs w:val="24"/>
        </w:rPr>
        <w:t xml:space="preserve"> in Gender History the material covered was mainly about the experiences of </w:t>
      </w:r>
      <w:proofErr w:type="spellStart"/>
      <w:r w:rsidRPr="00CC62FC">
        <w:rPr>
          <w:szCs w:val="24"/>
        </w:rPr>
        <w:t>cis</w:t>
      </w:r>
      <w:proofErr w:type="spellEnd"/>
      <w:r w:rsidRPr="00CC62FC">
        <w:rPr>
          <w:szCs w:val="24"/>
        </w:rPr>
        <w:t xml:space="preserve"> women, and in fact there was a lot more about biological sex than about gender identity. […] identities were seen as </w:t>
      </w:r>
      <w:r w:rsidR="009F22F4" w:rsidRPr="00CC62FC">
        <w:rPr>
          <w:szCs w:val="24"/>
        </w:rPr>
        <w:t>either ‘male’ or ‘female’</w:t>
      </w:r>
      <w:r w:rsidRPr="00CC62FC">
        <w:rPr>
          <w:szCs w:val="24"/>
        </w:rPr>
        <w:t xml:space="preserve"> - the narrative of women being oppressed collapsed women into a single category and assumed that all women – and indeed all those oppressed by gender stereotypes – had female genitalia.</w:t>
      </w:r>
      <w:r w:rsidR="00492DA0">
        <w:rPr>
          <w:rStyle w:val="FootnoteReference"/>
          <w:szCs w:val="24"/>
        </w:rPr>
        <w:footnoteReference w:id="7"/>
      </w:r>
      <w:r w:rsidRPr="00CC62FC">
        <w:rPr>
          <w:szCs w:val="24"/>
        </w:rPr>
        <w:t xml:space="preserve"> […] The issue of gender only ever came up in terms of women's equality with men, so most discussions were actually built around a binary of g</w:t>
      </w:r>
      <w:r w:rsidR="00D124C0" w:rsidRPr="00CC62FC">
        <w:rPr>
          <w:szCs w:val="24"/>
        </w:rPr>
        <w:t xml:space="preserve">ender (rather than, </w:t>
      </w:r>
      <w:proofErr w:type="spellStart"/>
      <w:r w:rsidR="00D124C0" w:rsidRPr="00CC62FC">
        <w:rPr>
          <w:szCs w:val="24"/>
        </w:rPr>
        <w:t>eg</w:t>
      </w:r>
      <w:proofErr w:type="spellEnd"/>
      <w:r w:rsidR="00D124C0" w:rsidRPr="00CC62FC">
        <w:rPr>
          <w:szCs w:val="24"/>
        </w:rPr>
        <w:t xml:space="preserve">. </w:t>
      </w:r>
      <w:proofErr w:type="spellStart"/>
      <w:r w:rsidR="00D124C0" w:rsidRPr="00CC62FC">
        <w:rPr>
          <w:szCs w:val="24"/>
        </w:rPr>
        <w:t>cis</w:t>
      </w:r>
      <w:proofErr w:type="spellEnd"/>
      <w:r w:rsidR="00D124C0" w:rsidRPr="00CC62FC">
        <w:rPr>
          <w:szCs w:val="24"/>
        </w:rPr>
        <w:t xml:space="preserve"> men’</w:t>
      </w:r>
      <w:r w:rsidRPr="00CC62FC">
        <w:rPr>
          <w:szCs w:val="24"/>
        </w:rPr>
        <w:t>s privilege, which would have allowed for a wider range of categories).</w:t>
      </w:r>
    </w:p>
    <w:p w14:paraId="3AE1AE74" w14:textId="77777777" w:rsidR="002450B3" w:rsidRPr="00CC62FC" w:rsidRDefault="002450B3" w:rsidP="002450B3">
      <w:pPr>
        <w:ind w:left="567" w:right="567"/>
        <w:rPr>
          <w:szCs w:val="24"/>
        </w:rPr>
      </w:pPr>
    </w:p>
    <w:p w14:paraId="11E44754" w14:textId="5B9960BC" w:rsidR="002450B3" w:rsidRPr="00CC62FC" w:rsidRDefault="002450B3" w:rsidP="002450B3">
      <w:pPr>
        <w:ind w:left="567" w:right="567"/>
        <w:rPr>
          <w:szCs w:val="24"/>
        </w:rPr>
      </w:pPr>
      <w:r w:rsidRPr="00CC62FC">
        <w:rPr>
          <w:szCs w:val="24"/>
        </w:rPr>
        <w:t xml:space="preserve">[…] In the literature half of my degree there was also not very much on LGBTQ+ people in general and certainly nothing on </w:t>
      </w:r>
      <w:proofErr w:type="gramStart"/>
      <w:r w:rsidRPr="00CC62FC">
        <w:rPr>
          <w:szCs w:val="24"/>
        </w:rPr>
        <w:t>trans</w:t>
      </w:r>
      <w:proofErr w:type="gramEnd"/>
      <w:r w:rsidRPr="00CC62FC">
        <w:rPr>
          <w:szCs w:val="24"/>
        </w:rPr>
        <w:t xml:space="preserve"> issues. […] [T]</w:t>
      </w:r>
      <w:proofErr w:type="spellStart"/>
      <w:r w:rsidRPr="00CC62FC">
        <w:rPr>
          <w:szCs w:val="24"/>
        </w:rPr>
        <w:t>hinking</w:t>
      </w:r>
      <w:proofErr w:type="spellEnd"/>
      <w:r w:rsidRPr="00CC62FC">
        <w:rPr>
          <w:szCs w:val="24"/>
        </w:rPr>
        <w:t xml:space="preserve"> about the </w:t>
      </w:r>
      <w:proofErr w:type="gramStart"/>
      <w:r w:rsidRPr="00CC62FC">
        <w:rPr>
          <w:szCs w:val="24"/>
        </w:rPr>
        <w:t>trans</w:t>
      </w:r>
      <w:proofErr w:type="gramEnd"/>
      <w:r w:rsidRPr="00CC62FC">
        <w:rPr>
          <w:szCs w:val="24"/>
        </w:rPr>
        <w:t xml:space="preserve"> or non-binary authors I know of, none were </w:t>
      </w:r>
      <w:r w:rsidR="009F22F4" w:rsidRPr="00CC62FC">
        <w:rPr>
          <w:szCs w:val="24"/>
        </w:rPr>
        <w:t>assigned unless as part of a ‘special’</w:t>
      </w:r>
      <w:r w:rsidR="00CE4EB0" w:rsidRPr="00CC62FC">
        <w:rPr>
          <w:szCs w:val="24"/>
        </w:rPr>
        <w:t xml:space="preserve"> topic –</w:t>
      </w:r>
      <w:r w:rsidRPr="00CC62FC">
        <w:rPr>
          <w:szCs w:val="24"/>
        </w:rPr>
        <w:t xml:space="preserve"> </w:t>
      </w:r>
      <w:proofErr w:type="spellStart"/>
      <w:r w:rsidRPr="00CC62FC">
        <w:rPr>
          <w:szCs w:val="24"/>
        </w:rPr>
        <w:t>ie</w:t>
      </w:r>
      <w:proofErr w:type="spellEnd"/>
      <w:r w:rsidRPr="00CC62FC">
        <w:rPr>
          <w:szCs w:val="24"/>
        </w:rPr>
        <w:t xml:space="preserve">. LGBTQ+ literature was segregated </w:t>
      </w:r>
      <w:r w:rsidR="009F22F4" w:rsidRPr="00CC62FC">
        <w:rPr>
          <w:szCs w:val="24"/>
        </w:rPr>
        <w:t>from ‘standard’</w:t>
      </w:r>
      <w:r w:rsidRPr="00CC62FC">
        <w:rPr>
          <w:szCs w:val="24"/>
        </w:rPr>
        <w:t xml:space="preserve"> literature. So Victorian literature included </w:t>
      </w:r>
      <w:proofErr w:type="spellStart"/>
      <w:r w:rsidRPr="00CC62FC">
        <w:rPr>
          <w:szCs w:val="24"/>
        </w:rPr>
        <w:t>cis</w:t>
      </w:r>
      <w:proofErr w:type="spellEnd"/>
      <w:r w:rsidRPr="00CC62FC">
        <w:rPr>
          <w:szCs w:val="24"/>
        </w:rPr>
        <w:t xml:space="preserve"> women and</w:t>
      </w:r>
      <w:r w:rsidR="00CC75B4">
        <w:rPr>
          <w:szCs w:val="24"/>
        </w:rPr>
        <w:t xml:space="preserve"> men, but no </w:t>
      </w:r>
      <w:proofErr w:type="spellStart"/>
      <w:r w:rsidR="00CC75B4">
        <w:rPr>
          <w:szCs w:val="24"/>
        </w:rPr>
        <w:t>nonbinary</w:t>
      </w:r>
      <w:proofErr w:type="spellEnd"/>
      <w:r w:rsidR="00CC75B4">
        <w:rPr>
          <w:szCs w:val="24"/>
        </w:rPr>
        <w:t xml:space="preserve"> figures –</w:t>
      </w:r>
      <w:r w:rsidRPr="00CC62FC">
        <w:rPr>
          <w:szCs w:val="24"/>
        </w:rPr>
        <w:t xml:space="preserve"> for example. </w:t>
      </w:r>
    </w:p>
    <w:p w14:paraId="5CB8D9EB" w14:textId="77777777" w:rsidR="002450B3" w:rsidRPr="00CC62FC" w:rsidRDefault="002450B3" w:rsidP="002450B3">
      <w:pPr>
        <w:rPr>
          <w:szCs w:val="24"/>
        </w:rPr>
      </w:pPr>
    </w:p>
    <w:p w14:paraId="1A07DE48" w14:textId="77777777" w:rsidR="0054544D" w:rsidRPr="00CC62FC" w:rsidRDefault="0054544D" w:rsidP="0054544D">
      <w:pPr>
        <w:rPr>
          <w:szCs w:val="24"/>
        </w:rPr>
      </w:pPr>
      <w:proofErr w:type="spellStart"/>
      <w:r w:rsidRPr="00CC62FC">
        <w:rPr>
          <w:szCs w:val="24"/>
        </w:rPr>
        <w:t>E</w:t>
      </w:r>
      <w:proofErr w:type="spellEnd"/>
      <w:r w:rsidRPr="00CC62FC">
        <w:rPr>
          <w:szCs w:val="24"/>
        </w:rPr>
        <w:t xml:space="preserve"> considered that her curriculum could have been improved:</w:t>
      </w:r>
    </w:p>
    <w:p w14:paraId="3AE72F79" w14:textId="77777777" w:rsidR="0054544D" w:rsidRPr="00CC62FC" w:rsidRDefault="0054544D" w:rsidP="0054544D">
      <w:pPr>
        <w:rPr>
          <w:szCs w:val="24"/>
        </w:rPr>
      </w:pPr>
    </w:p>
    <w:p w14:paraId="5214FB17" w14:textId="5B9EC9F2" w:rsidR="0054544D" w:rsidRPr="00CC62FC" w:rsidRDefault="0054544D" w:rsidP="0054544D">
      <w:pPr>
        <w:ind w:left="567" w:right="567"/>
        <w:rPr>
          <w:szCs w:val="24"/>
        </w:rPr>
      </w:pPr>
      <w:r w:rsidRPr="00CC62FC">
        <w:rPr>
          <w:szCs w:val="24"/>
        </w:rPr>
        <w:t xml:space="preserve">By having some </w:t>
      </w:r>
      <w:proofErr w:type="gramStart"/>
      <w:r w:rsidRPr="00CC62FC">
        <w:rPr>
          <w:szCs w:val="24"/>
        </w:rPr>
        <w:t>trans</w:t>
      </w:r>
      <w:proofErr w:type="gramEnd"/>
      <w:r w:rsidRPr="00CC62FC">
        <w:rPr>
          <w:szCs w:val="24"/>
        </w:rPr>
        <w:t xml:space="preserve"> people in it, first of all. But also more focus on gender as a social construct, and less focus on biology as a tool of oppression – or at least on </w:t>
      </w:r>
      <w:proofErr w:type="spellStart"/>
      <w:r w:rsidRPr="00CC62FC">
        <w:rPr>
          <w:szCs w:val="24"/>
        </w:rPr>
        <w:t>cis</w:t>
      </w:r>
      <w:proofErr w:type="spellEnd"/>
      <w:r w:rsidRPr="00CC62FC">
        <w:rPr>
          <w:szCs w:val="24"/>
        </w:rPr>
        <w:t xml:space="preserve"> woman's experience of biology as a tool of oppression.</w:t>
      </w:r>
    </w:p>
    <w:p w14:paraId="1026FDCE" w14:textId="77777777" w:rsidR="0054544D" w:rsidRPr="00CC62FC" w:rsidRDefault="0054544D" w:rsidP="0054544D">
      <w:pPr>
        <w:rPr>
          <w:szCs w:val="24"/>
        </w:rPr>
      </w:pPr>
    </w:p>
    <w:p w14:paraId="0410A50F" w14:textId="7CCEE5BC" w:rsidR="001F49EC" w:rsidRPr="00CC62FC" w:rsidRDefault="0054544D" w:rsidP="001F49EC">
      <w:pPr>
        <w:rPr>
          <w:szCs w:val="24"/>
        </w:rPr>
      </w:pPr>
      <w:r w:rsidRPr="00CC62FC">
        <w:rPr>
          <w:szCs w:val="24"/>
        </w:rPr>
        <w:t xml:space="preserve">Metis, a </w:t>
      </w:r>
      <w:proofErr w:type="spellStart"/>
      <w:r w:rsidRPr="00CC62FC">
        <w:rPr>
          <w:szCs w:val="24"/>
        </w:rPr>
        <w:t>genderfluid</w:t>
      </w:r>
      <w:proofErr w:type="spellEnd"/>
      <w:r w:rsidRPr="00CC62FC">
        <w:rPr>
          <w:szCs w:val="24"/>
        </w:rPr>
        <w:t xml:space="preserve"> student who began their Psychology BSc in 2011 and was now studying an MSc, also felt </w:t>
      </w:r>
      <w:proofErr w:type="gramStart"/>
      <w:r w:rsidRPr="00CC62FC">
        <w:rPr>
          <w:szCs w:val="24"/>
        </w:rPr>
        <w:t>trans</w:t>
      </w:r>
      <w:proofErr w:type="gramEnd"/>
      <w:r w:rsidRPr="00CC62FC">
        <w:rPr>
          <w:szCs w:val="24"/>
        </w:rPr>
        <w:t xml:space="preserve"> topics were tokenised within the curriculum</w:t>
      </w:r>
      <w:r w:rsidR="00CE4EB0" w:rsidRPr="00CC62FC">
        <w:rPr>
          <w:szCs w:val="24"/>
        </w:rPr>
        <w:t xml:space="preserve"> – an endemic problem in </w:t>
      </w:r>
      <w:r w:rsidR="00CC75B4">
        <w:rPr>
          <w:szCs w:val="24"/>
        </w:rPr>
        <w:t>the design of</w:t>
      </w:r>
      <w:r w:rsidR="00CE4EB0" w:rsidRPr="00CC62FC">
        <w:rPr>
          <w:szCs w:val="24"/>
        </w:rPr>
        <w:t xml:space="preserve"> learning about social marginalisation (hooks 1994: 38–9)</w:t>
      </w:r>
      <w:r w:rsidRPr="00CC62FC">
        <w:rPr>
          <w:szCs w:val="24"/>
        </w:rPr>
        <w:t xml:space="preserve">. </w:t>
      </w:r>
      <w:r w:rsidR="00CE4EB0" w:rsidRPr="00CC62FC">
        <w:rPr>
          <w:szCs w:val="24"/>
        </w:rPr>
        <w:t xml:space="preserve">The knowledge presented in their one </w:t>
      </w:r>
      <w:r w:rsidRPr="00CC62FC">
        <w:rPr>
          <w:szCs w:val="24"/>
        </w:rPr>
        <w:t>lecture on gender identity</w:t>
      </w:r>
      <w:r w:rsidR="00CE4EB0" w:rsidRPr="00CC62FC">
        <w:rPr>
          <w:szCs w:val="24"/>
        </w:rPr>
        <w:t xml:space="preserve"> had </w:t>
      </w:r>
      <w:r w:rsidRPr="00CC62FC">
        <w:rPr>
          <w:szCs w:val="24"/>
        </w:rPr>
        <w:t>not inform</w:t>
      </w:r>
      <w:r w:rsidR="00CE4EB0" w:rsidRPr="00CC62FC">
        <w:rPr>
          <w:szCs w:val="24"/>
        </w:rPr>
        <w:t>ed</w:t>
      </w:r>
      <w:r w:rsidRPr="00CC62FC">
        <w:rPr>
          <w:szCs w:val="24"/>
        </w:rPr>
        <w:t xml:space="preserve"> the curriculum’s coverage of survey design, or even of </w:t>
      </w:r>
      <w:proofErr w:type="spellStart"/>
      <w:r w:rsidRPr="00CC62FC">
        <w:rPr>
          <w:szCs w:val="24"/>
        </w:rPr>
        <w:t>microaggressions</w:t>
      </w:r>
      <w:proofErr w:type="spellEnd"/>
      <w:r w:rsidRPr="00CC62FC">
        <w:rPr>
          <w:szCs w:val="24"/>
        </w:rPr>
        <w:t xml:space="preserve">, which were limited to gender and race. They and the other Psychology student in the study both </w:t>
      </w:r>
      <w:r w:rsidR="008218D7" w:rsidRPr="00CC62FC">
        <w:rPr>
          <w:szCs w:val="24"/>
        </w:rPr>
        <w:t xml:space="preserve">felt that the </w:t>
      </w:r>
      <w:proofErr w:type="spellStart"/>
      <w:r w:rsidR="008218D7" w:rsidRPr="00CC62FC">
        <w:rPr>
          <w:szCs w:val="24"/>
        </w:rPr>
        <w:t>cisnormativity</w:t>
      </w:r>
      <w:proofErr w:type="spellEnd"/>
      <w:r w:rsidR="008218D7" w:rsidRPr="00CC62FC">
        <w:rPr>
          <w:szCs w:val="24"/>
        </w:rPr>
        <w:t xml:space="preserve"> of </w:t>
      </w:r>
      <w:r w:rsidR="008218D7" w:rsidRPr="00CC62FC">
        <w:rPr>
          <w:szCs w:val="24"/>
        </w:rPr>
        <w:lastRenderedPageBreak/>
        <w:t xml:space="preserve">their research methods training had left them underequipped for </w:t>
      </w:r>
      <w:r w:rsidR="00B37304" w:rsidRPr="00CC62FC">
        <w:rPr>
          <w:szCs w:val="24"/>
        </w:rPr>
        <w:t xml:space="preserve">conducting </w:t>
      </w:r>
      <w:r w:rsidR="008218D7" w:rsidRPr="00CC62FC">
        <w:rPr>
          <w:szCs w:val="24"/>
        </w:rPr>
        <w:t>research</w:t>
      </w:r>
      <w:r w:rsidR="00B37304" w:rsidRPr="00CC62FC">
        <w:rPr>
          <w:szCs w:val="24"/>
        </w:rPr>
        <w:t xml:space="preserve"> in their discipline</w:t>
      </w:r>
      <w:r w:rsidR="008218D7" w:rsidRPr="00CC62FC">
        <w:rPr>
          <w:szCs w:val="24"/>
        </w:rPr>
        <w:t>. Metis</w:t>
      </w:r>
      <w:r w:rsidRPr="00CC62FC">
        <w:rPr>
          <w:szCs w:val="24"/>
        </w:rPr>
        <w:t xml:space="preserve"> </w:t>
      </w:r>
      <w:r w:rsidR="008218D7" w:rsidRPr="00CC62FC">
        <w:rPr>
          <w:szCs w:val="24"/>
        </w:rPr>
        <w:t xml:space="preserve">considered that students learning questionnaire design ought to be taught how to ask about gender in ways that enabled </w:t>
      </w:r>
      <w:proofErr w:type="gramStart"/>
      <w:r w:rsidR="008218D7" w:rsidRPr="00CC62FC">
        <w:rPr>
          <w:szCs w:val="24"/>
        </w:rPr>
        <w:t>trans</w:t>
      </w:r>
      <w:proofErr w:type="gramEnd"/>
      <w:r w:rsidR="008218D7" w:rsidRPr="00CC62FC">
        <w:rPr>
          <w:szCs w:val="24"/>
        </w:rPr>
        <w:t xml:space="preserve"> and non-binary people to take part</w:t>
      </w:r>
      <w:r w:rsidR="00B37304" w:rsidRPr="00CC62FC">
        <w:rPr>
          <w:szCs w:val="24"/>
        </w:rPr>
        <w:t xml:space="preserve"> (guidance that </w:t>
      </w:r>
      <w:r w:rsidR="008218D7" w:rsidRPr="00CC62FC">
        <w:rPr>
          <w:szCs w:val="24"/>
        </w:rPr>
        <w:t>Jade would also have appreciated in the preparation for her third-year research project</w:t>
      </w:r>
      <w:r w:rsidR="00B37304" w:rsidRPr="00CC62FC">
        <w:rPr>
          <w:szCs w:val="24"/>
        </w:rPr>
        <w:t>). They also commented that all example datasets used in their teaching contained ‘</w:t>
      </w:r>
      <w:r w:rsidR="00B37304" w:rsidRPr="00CC62FC">
        <w:rPr>
          <w:rFonts w:cs="Times New Roman"/>
          <w:szCs w:val="24"/>
        </w:rPr>
        <w:t xml:space="preserve">strictly binary data on gender’, reflecting the structural </w:t>
      </w:r>
      <w:proofErr w:type="spellStart"/>
      <w:r w:rsidR="00B37304" w:rsidRPr="00CC62FC">
        <w:rPr>
          <w:rFonts w:cs="Times New Roman"/>
          <w:szCs w:val="24"/>
        </w:rPr>
        <w:t>cisnormativity</w:t>
      </w:r>
      <w:proofErr w:type="spellEnd"/>
      <w:r w:rsidR="00B37304" w:rsidRPr="00CC62FC">
        <w:rPr>
          <w:rFonts w:cs="Times New Roman"/>
          <w:szCs w:val="24"/>
        </w:rPr>
        <w:t xml:space="preserve"> of survey instruments in social research: ‘At the time, multidimensional scales for gender identity assessment hadn't been developed, but now that one has (Joel et al. 2014</w:t>
      </w:r>
      <w:hyperlink r:id="rId8" w:history="1"/>
      <w:r w:rsidR="00B37304" w:rsidRPr="00CC62FC">
        <w:rPr>
          <w:rFonts w:cs="Times New Roman"/>
          <w:szCs w:val="24"/>
        </w:rPr>
        <w:t>),</w:t>
      </w:r>
      <w:r w:rsidR="00B37304" w:rsidRPr="00CC62FC">
        <w:rPr>
          <w:rStyle w:val="FootnoteReference"/>
          <w:rFonts w:cs="Times New Roman"/>
          <w:szCs w:val="24"/>
        </w:rPr>
        <w:footnoteReference w:id="8"/>
      </w:r>
      <w:r w:rsidR="00B37304" w:rsidRPr="00CC62FC">
        <w:rPr>
          <w:rFonts w:cs="Times New Roman"/>
          <w:szCs w:val="24"/>
        </w:rPr>
        <w:t xml:space="preserve"> they could also talk about that.’</w:t>
      </w:r>
      <w:r w:rsidR="00B37304" w:rsidRPr="00CC62FC">
        <w:rPr>
          <w:szCs w:val="24"/>
        </w:rPr>
        <w:t xml:space="preserve"> </w:t>
      </w:r>
      <w:r w:rsidRPr="00CC62FC">
        <w:rPr>
          <w:szCs w:val="24"/>
        </w:rPr>
        <w:t xml:space="preserve">Jade similarly noted that introductory modules </w:t>
      </w:r>
      <w:r w:rsidR="00B56B55" w:rsidRPr="00CC62FC">
        <w:rPr>
          <w:szCs w:val="24"/>
        </w:rPr>
        <w:t xml:space="preserve">could have equipped students to understand structural inequalities in the production of psychological knowledge by ‘explaining that many studies are based on white, </w:t>
      </w:r>
      <w:proofErr w:type="spellStart"/>
      <w:r w:rsidR="00B56B55" w:rsidRPr="00CC62FC">
        <w:rPr>
          <w:szCs w:val="24"/>
        </w:rPr>
        <w:t>cisgendered</w:t>
      </w:r>
      <w:proofErr w:type="spellEnd"/>
      <w:r w:rsidR="00B56B55" w:rsidRPr="00CC62FC">
        <w:rPr>
          <w:szCs w:val="24"/>
        </w:rPr>
        <w:t xml:space="preserve"> and middle class people’. </w:t>
      </w:r>
    </w:p>
    <w:p w14:paraId="69DEE0BA" w14:textId="77777777" w:rsidR="001F52C3" w:rsidRDefault="001F52C3" w:rsidP="001F52C3">
      <w:pPr>
        <w:rPr>
          <w:szCs w:val="24"/>
        </w:rPr>
      </w:pPr>
    </w:p>
    <w:p w14:paraId="35F5E4AA" w14:textId="47743070" w:rsidR="001F49EC" w:rsidRPr="00CC62FC" w:rsidRDefault="001F49EC" w:rsidP="001F52C3">
      <w:pPr>
        <w:rPr>
          <w:szCs w:val="24"/>
        </w:rPr>
      </w:pPr>
      <w:r w:rsidRPr="00CC62FC">
        <w:rPr>
          <w:szCs w:val="24"/>
        </w:rPr>
        <w:t>Specifically non-binary inclusivity was also seen as lacking by many respondents (Hypothesis 3). 9 respondents did not remember ‘identities and experiences outside the male–female gender binary’ (my phrasing) being covered at all, with one (Metis, who began university in 2011) adding ‘I got more coverage of non-binary identities at A-level than I did in my degree!’), and another (Jay, who had studied 2003–13) that ‘[q]</w:t>
      </w:r>
      <w:proofErr w:type="spellStart"/>
      <w:r w:rsidRPr="00CC62FC">
        <w:rPr>
          <w:szCs w:val="24"/>
        </w:rPr>
        <w:t>uite</w:t>
      </w:r>
      <w:proofErr w:type="spellEnd"/>
      <w:r w:rsidRPr="00CC62FC">
        <w:rPr>
          <w:szCs w:val="24"/>
        </w:rPr>
        <w:t xml:space="preserve"> frankly it struggled to cover much beyond white men (usually also dead)’. Another 2 said ‘[h]</w:t>
      </w:r>
      <w:proofErr w:type="spellStart"/>
      <w:r w:rsidRPr="00CC62FC">
        <w:rPr>
          <w:szCs w:val="24"/>
        </w:rPr>
        <w:t>ardly</w:t>
      </w:r>
      <w:proofErr w:type="spellEnd"/>
      <w:r w:rsidRPr="00CC62FC">
        <w:rPr>
          <w:szCs w:val="24"/>
        </w:rPr>
        <w:t>’ or ‘[v]</w:t>
      </w:r>
      <w:proofErr w:type="spellStart"/>
      <w:r w:rsidRPr="00CC62FC">
        <w:rPr>
          <w:szCs w:val="24"/>
        </w:rPr>
        <w:t>ery</w:t>
      </w:r>
      <w:proofErr w:type="spellEnd"/>
      <w:r w:rsidRPr="00CC62FC">
        <w:rPr>
          <w:szCs w:val="24"/>
        </w:rPr>
        <w:t xml:space="preserve"> seldom’. 2 remembered only one reading covering non-binary identities/experiences (</w:t>
      </w:r>
      <w:r w:rsidRPr="00CC62FC">
        <w:rPr>
          <w:i/>
          <w:iCs/>
          <w:szCs w:val="24"/>
        </w:rPr>
        <w:t>Gender Trouble</w:t>
      </w:r>
      <w:r w:rsidRPr="00CC62FC">
        <w:rPr>
          <w:szCs w:val="24"/>
        </w:rPr>
        <w:t xml:space="preserve"> in one case; in another, Don </w:t>
      </w:r>
      <w:proofErr w:type="spellStart"/>
      <w:r w:rsidRPr="00CC62FC">
        <w:rPr>
          <w:szCs w:val="24"/>
        </w:rPr>
        <w:t>Kulick’s</w:t>
      </w:r>
      <w:proofErr w:type="spellEnd"/>
      <w:r w:rsidRPr="00CC62FC">
        <w:rPr>
          <w:szCs w:val="24"/>
        </w:rPr>
        <w:t xml:space="preserve"> ethnography of Brazilian </w:t>
      </w:r>
      <w:proofErr w:type="spellStart"/>
      <w:r w:rsidRPr="00CC62FC">
        <w:rPr>
          <w:i/>
          <w:iCs/>
          <w:szCs w:val="24"/>
        </w:rPr>
        <w:t>travesti</w:t>
      </w:r>
      <w:proofErr w:type="spellEnd"/>
      <w:r w:rsidRPr="00CC62FC">
        <w:rPr>
          <w:i/>
          <w:iCs/>
          <w:szCs w:val="24"/>
        </w:rPr>
        <w:t xml:space="preserve"> </w:t>
      </w:r>
      <w:r w:rsidRPr="00CC62FC">
        <w:rPr>
          <w:szCs w:val="24"/>
        </w:rPr>
        <w:t>sex workers (</w:t>
      </w:r>
      <w:proofErr w:type="spellStart"/>
      <w:r w:rsidRPr="00CC62FC">
        <w:rPr>
          <w:szCs w:val="24"/>
        </w:rPr>
        <w:t>Kulick</w:t>
      </w:r>
      <w:proofErr w:type="spellEnd"/>
      <w:r w:rsidRPr="00CC62FC">
        <w:rPr>
          <w:szCs w:val="24"/>
        </w:rPr>
        <w:t xml:space="preserve"> 1998)). 2 others felt that teaching had tried to interrogate the gender binary but in fact ‘reached fairly stereotypical and normative conclusions’ (Dominic) or ‘simply reinforced traditional gender roles’ (J, a Politics student in 2006–14). </w:t>
      </w:r>
      <w:r w:rsidR="00910BC3" w:rsidRPr="00CC62FC">
        <w:rPr>
          <w:szCs w:val="24"/>
        </w:rPr>
        <w:t>Tuesday was the most positive, and even her praise – ‘Not super well, but I was grateful to have it be introduced as a concept we should know about’ – was qualified. This in any case referred to her studies in the US. Non-binary gender was thus invisible in almost all the UK teaching that respondents recalled.</w:t>
      </w:r>
    </w:p>
    <w:p w14:paraId="26602D1E" w14:textId="77777777" w:rsidR="001F52C3" w:rsidRDefault="001F52C3" w:rsidP="001F52C3">
      <w:pPr>
        <w:rPr>
          <w:szCs w:val="24"/>
        </w:rPr>
      </w:pPr>
    </w:p>
    <w:p w14:paraId="67636F3F" w14:textId="10E2CBB3" w:rsidR="00B1574F" w:rsidRPr="00CC62FC" w:rsidRDefault="00B56B55" w:rsidP="001F52C3">
      <w:pPr>
        <w:rPr>
          <w:szCs w:val="24"/>
        </w:rPr>
      </w:pPr>
      <w:r w:rsidRPr="00CC62FC">
        <w:rPr>
          <w:szCs w:val="24"/>
        </w:rPr>
        <w:t xml:space="preserve">4 respondents discussing UK courses </w:t>
      </w:r>
      <w:r w:rsidR="009F22F4" w:rsidRPr="00CC62FC">
        <w:rPr>
          <w:szCs w:val="24"/>
        </w:rPr>
        <w:t>recall</w:t>
      </w:r>
      <w:r w:rsidRPr="00CC62FC">
        <w:rPr>
          <w:szCs w:val="24"/>
        </w:rPr>
        <w:t>ed</w:t>
      </w:r>
      <w:r w:rsidR="009F22F4" w:rsidRPr="00CC62FC">
        <w:rPr>
          <w:szCs w:val="24"/>
        </w:rPr>
        <w:t xml:space="preserve"> readings by trans authors being available</w:t>
      </w:r>
      <w:r w:rsidRPr="00CC62FC">
        <w:rPr>
          <w:szCs w:val="24"/>
        </w:rPr>
        <w:t xml:space="preserve">, including work by </w:t>
      </w:r>
      <w:r w:rsidR="009F22F4" w:rsidRPr="00CC62FC">
        <w:rPr>
          <w:szCs w:val="24"/>
        </w:rPr>
        <w:t xml:space="preserve">the sociologist of masculinities </w:t>
      </w:r>
      <w:proofErr w:type="spellStart"/>
      <w:r w:rsidR="009F22F4" w:rsidRPr="00CC62FC">
        <w:rPr>
          <w:szCs w:val="24"/>
        </w:rPr>
        <w:t>Raewyn</w:t>
      </w:r>
      <w:proofErr w:type="spellEnd"/>
      <w:r w:rsidR="009F22F4" w:rsidRPr="00CC62FC">
        <w:rPr>
          <w:szCs w:val="24"/>
        </w:rPr>
        <w:t xml:space="preserve"> Connell, the political scientist Sabrina </w:t>
      </w:r>
      <w:proofErr w:type="spellStart"/>
      <w:r w:rsidR="009F22F4" w:rsidRPr="00CC62FC">
        <w:rPr>
          <w:szCs w:val="24"/>
        </w:rPr>
        <w:t>Ramet</w:t>
      </w:r>
      <w:proofErr w:type="spellEnd"/>
      <w:r w:rsidRPr="00CC62FC">
        <w:rPr>
          <w:szCs w:val="24"/>
        </w:rPr>
        <w:t xml:space="preserve"> (the only reading by a trans author not on trans-specific topics that any respondent remembered</w:t>
      </w:r>
      <w:r w:rsidR="00B1574F" w:rsidRPr="00CC62FC">
        <w:rPr>
          <w:rStyle w:val="FootnoteReference"/>
          <w:szCs w:val="24"/>
        </w:rPr>
        <w:footnoteReference w:id="9"/>
      </w:r>
      <w:r w:rsidRPr="00CC62FC">
        <w:rPr>
          <w:szCs w:val="24"/>
        </w:rPr>
        <w:t>)</w:t>
      </w:r>
      <w:r w:rsidR="009F22F4" w:rsidRPr="00CC62FC">
        <w:rPr>
          <w:szCs w:val="24"/>
        </w:rPr>
        <w:t xml:space="preserve">, the historian Susan Stryker, the gender theorist Jack </w:t>
      </w:r>
      <w:proofErr w:type="spellStart"/>
      <w:r w:rsidR="009F22F4" w:rsidRPr="00CC62FC">
        <w:rPr>
          <w:szCs w:val="24"/>
        </w:rPr>
        <w:t>Halberstam</w:t>
      </w:r>
      <w:proofErr w:type="spellEnd"/>
      <w:r w:rsidR="009F22F4" w:rsidRPr="00CC62FC">
        <w:rPr>
          <w:szCs w:val="24"/>
        </w:rPr>
        <w:t>, and a historical figure whose writing had been used as a primary source in a History class, Catalina/A</w:t>
      </w:r>
      <w:r w:rsidR="00492DA0">
        <w:rPr>
          <w:szCs w:val="24"/>
        </w:rPr>
        <w:t>ntonio/A</w:t>
      </w:r>
      <w:r w:rsidR="009F22F4" w:rsidRPr="00CC62FC">
        <w:rPr>
          <w:szCs w:val="24"/>
        </w:rPr>
        <w:t xml:space="preserve">lonso </w:t>
      </w:r>
      <w:r w:rsidRPr="00CC62FC">
        <w:rPr>
          <w:szCs w:val="24"/>
        </w:rPr>
        <w:t xml:space="preserve">de </w:t>
      </w:r>
      <w:proofErr w:type="spellStart"/>
      <w:r w:rsidR="009F22F4" w:rsidRPr="00CC62FC">
        <w:rPr>
          <w:szCs w:val="24"/>
        </w:rPr>
        <w:t>Erauso</w:t>
      </w:r>
      <w:proofErr w:type="spellEnd"/>
      <w:r w:rsidR="009F22F4" w:rsidRPr="00CC62FC">
        <w:rPr>
          <w:szCs w:val="24"/>
        </w:rPr>
        <w:t xml:space="preserve">. </w:t>
      </w:r>
      <w:r w:rsidRPr="00CC62FC">
        <w:rPr>
          <w:szCs w:val="24"/>
        </w:rPr>
        <w:t xml:space="preserve">Incorporating trans authors into the curriculum is important in demonstrating to students that trans people are producers, not just subjects, of expertise, and in countering legacies of abstraction and </w:t>
      </w:r>
      <w:proofErr w:type="spellStart"/>
      <w:r w:rsidRPr="00CC62FC">
        <w:rPr>
          <w:szCs w:val="24"/>
        </w:rPr>
        <w:t>medicalisation</w:t>
      </w:r>
      <w:proofErr w:type="spellEnd"/>
      <w:r w:rsidRPr="00CC62FC">
        <w:rPr>
          <w:szCs w:val="24"/>
        </w:rPr>
        <w:t xml:space="preserve"> of knowledge about trans people (Spade 2012: 59). </w:t>
      </w:r>
      <w:r w:rsidR="00B1574F" w:rsidRPr="00CC62FC">
        <w:rPr>
          <w:szCs w:val="24"/>
        </w:rPr>
        <w:t xml:space="preserve">2 respondents, in contrast, recalled trans/non-binary topics being covered only through readings that described trans people as abnormal or (uncritically-presented) openly </w:t>
      </w:r>
      <w:proofErr w:type="spellStart"/>
      <w:r w:rsidR="00B1574F" w:rsidRPr="00CC62FC">
        <w:rPr>
          <w:szCs w:val="24"/>
        </w:rPr>
        <w:t>transphobic</w:t>
      </w:r>
      <w:proofErr w:type="spellEnd"/>
      <w:r w:rsidR="00B1574F" w:rsidRPr="00CC62FC">
        <w:rPr>
          <w:szCs w:val="24"/>
        </w:rPr>
        <w:t xml:space="preserve"> readings. With a wide range of scholarly literature now available that challenges such perspectives, it is inappropriate and indeed harmful for such readings to provide the only coverage of trans/non-binary topics in an entire curriculum. </w:t>
      </w:r>
    </w:p>
    <w:p w14:paraId="2F76B7CC" w14:textId="77777777" w:rsidR="00A70050" w:rsidRPr="00CC62FC" w:rsidRDefault="00A70050" w:rsidP="00B1574F">
      <w:pPr>
        <w:rPr>
          <w:szCs w:val="24"/>
        </w:rPr>
      </w:pPr>
    </w:p>
    <w:p w14:paraId="7875CC0C" w14:textId="52AFA0CE" w:rsidR="00A70050" w:rsidRPr="00CC62FC" w:rsidRDefault="001F52C3" w:rsidP="00A70050">
      <w:pPr>
        <w:rPr>
          <w:i/>
          <w:iCs/>
          <w:szCs w:val="24"/>
        </w:rPr>
      </w:pPr>
      <w:r>
        <w:rPr>
          <w:i/>
          <w:iCs/>
          <w:szCs w:val="24"/>
        </w:rPr>
        <w:t xml:space="preserve">2.2 </w:t>
      </w:r>
      <w:r w:rsidR="00A70050" w:rsidRPr="00CC62FC">
        <w:rPr>
          <w:i/>
          <w:iCs/>
          <w:szCs w:val="24"/>
        </w:rPr>
        <w:t>Independent learning</w:t>
      </w:r>
    </w:p>
    <w:p w14:paraId="5F76C9FE" w14:textId="77777777" w:rsidR="00A70050" w:rsidRPr="00CC62FC" w:rsidRDefault="00A70050" w:rsidP="00A70050">
      <w:pPr>
        <w:ind w:firstLine="284"/>
        <w:rPr>
          <w:szCs w:val="24"/>
        </w:rPr>
      </w:pPr>
    </w:p>
    <w:p w14:paraId="28282928" w14:textId="76E218BE" w:rsidR="00125302" w:rsidRPr="00CC62FC" w:rsidRDefault="00125302" w:rsidP="00910FBD">
      <w:pPr>
        <w:rPr>
          <w:szCs w:val="24"/>
        </w:rPr>
      </w:pPr>
      <w:r w:rsidRPr="00CC62FC">
        <w:rPr>
          <w:szCs w:val="24"/>
        </w:rPr>
        <w:lastRenderedPageBreak/>
        <w:t xml:space="preserve">Independent study </w:t>
      </w:r>
      <w:r w:rsidR="00A70050" w:rsidRPr="00CC62FC">
        <w:rPr>
          <w:szCs w:val="24"/>
        </w:rPr>
        <w:t xml:space="preserve">unexpectedly (from the viewpoint of the survey design, which had not asked about it) </w:t>
      </w:r>
      <w:r w:rsidRPr="00CC62FC">
        <w:rPr>
          <w:szCs w:val="24"/>
        </w:rPr>
        <w:t xml:space="preserve">emerged as a much more important source of education on </w:t>
      </w:r>
      <w:proofErr w:type="gramStart"/>
      <w:r w:rsidRPr="00CC62FC">
        <w:rPr>
          <w:szCs w:val="24"/>
        </w:rPr>
        <w:t>trans</w:t>
      </w:r>
      <w:proofErr w:type="gramEnd"/>
      <w:r w:rsidRPr="00CC62FC">
        <w:rPr>
          <w:szCs w:val="24"/>
        </w:rPr>
        <w:t xml:space="preserve"> issues than reading assigned in the curriculum. This testifies to the </w:t>
      </w:r>
      <w:r w:rsidR="00B1574F" w:rsidRPr="00CC62FC">
        <w:rPr>
          <w:szCs w:val="24"/>
        </w:rPr>
        <w:t xml:space="preserve">significance </w:t>
      </w:r>
      <w:r w:rsidRPr="00CC62FC">
        <w:rPr>
          <w:szCs w:val="24"/>
        </w:rPr>
        <w:t xml:space="preserve">of the university and in particular its library as </w:t>
      </w:r>
      <w:r w:rsidR="00B1574F" w:rsidRPr="00CC62FC">
        <w:rPr>
          <w:szCs w:val="24"/>
        </w:rPr>
        <w:t xml:space="preserve">a site for self-directed education supplementary or incidental to students’ programmes of study. It especially suggests </w:t>
      </w:r>
      <w:r w:rsidRPr="00CC62FC">
        <w:rPr>
          <w:szCs w:val="24"/>
        </w:rPr>
        <w:t xml:space="preserve">the importance of university libraries developing inclusive collections that allow students to navigate them as sites of discovery beyond their assigned reading lists (Sadler and Bourg 2015). </w:t>
      </w:r>
      <w:r w:rsidR="00A70050" w:rsidRPr="00CC62FC">
        <w:rPr>
          <w:szCs w:val="24"/>
        </w:rPr>
        <w:t xml:space="preserve">Jay ‘was definitely reading </w:t>
      </w:r>
      <w:proofErr w:type="spellStart"/>
      <w:r w:rsidR="00A70050" w:rsidRPr="00CC62FC">
        <w:rPr>
          <w:szCs w:val="24"/>
        </w:rPr>
        <w:t>Raewyn</w:t>
      </w:r>
      <w:proofErr w:type="spellEnd"/>
      <w:r w:rsidR="00A70050" w:rsidRPr="00CC62FC">
        <w:rPr>
          <w:szCs w:val="24"/>
        </w:rPr>
        <w:t xml:space="preserve"> Connell’s work by the first year of [her] PhD’ but could not remember if she had been assigned it or picked it up herself. Dominic ‘had found such readings myself’ during his PhD in Health. ‘123’ remembered being assigned </w:t>
      </w:r>
      <w:proofErr w:type="spellStart"/>
      <w:r w:rsidR="00A70050" w:rsidRPr="00CC62FC">
        <w:rPr>
          <w:szCs w:val="24"/>
        </w:rPr>
        <w:t>Ramet</w:t>
      </w:r>
      <w:proofErr w:type="spellEnd"/>
      <w:r w:rsidR="00A70050" w:rsidRPr="00CC62FC">
        <w:rPr>
          <w:szCs w:val="24"/>
        </w:rPr>
        <w:t xml:space="preserve"> in an area studies module but no trans-specific readings in a ‘kinship, gender, sexuality and class’ module apart from </w:t>
      </w:r>
      <w:proofErr w:type="spellStart"/>
      <w:r w:rsidR="00A70050" w:rsidRPr="00CC62FC">
        <w:rPr>
          <w:szCs w:val="24"/>
        </w:rPr>
        <w:t>Kulick’s</w:t>
      </w:r>
      <w:proofErr w:type="spellEnd"/>
      <w:r w:rsidR="00A70050" w:rsidRPr="00CC62FC">
        <w:rPr>
          <w:szCs w:val="24"/>
        </w:rPr>
        <w:t xml:space="preserve"> </w:t>
      </w:r>
      <w:r w:rsidR="00910BC3" w:rsidRPr="00CC62FC">
        <w:rPr>
          <w:szCs w:val="24"/>
        </w:rPr>
        <w:t xml:space="preserve">1998 book </w:t>
      </w:r>
      <w:r w:rsidR="00A70050" w:rsidRPr="00CC62FC">
        <w:rPr>
          <w:szCs w:val="24"/>
        </w:rPr>
        <w:t xml:space="preserve">(this at some point between 2008 and 2012!); however, she listed six readings on gender non-conformity and the social construction of sex that she had ‘enjoyed’ though not having been assigned them. </w:t>
      </w:r>
    </w:p>
    <w:p w14:paraId="36B8CE8F" w14:textId="77777777" w:rsidR="001F52C3" w:rsidRDefault="001F52C3" w:rsidP="001F52C3">
      <w:pPr>
        <w:rPr>
          <w:rFonts w:cs="Arial"/>
          <w:szCs w:val="24"/>
        </w:rPr>
      </w:pPr>
    </w:p>
    <w:p w14:paraId="05904722" w14:textId="77777777" w:rsidR="00F67CA4" w:rsidRPr="00CC62FC" w:rsidRDefault="00A70050" w:rsidP="001F52C3">
      <w:pPr>
        <w:rPr>
          <w:rFonts w:cs="Arial"/>
          <w:szCs w:val="24"/>
        </w:rPr>
      </w:pPr>
      <w:r w:rsidRPr="00CC62FC">
        <w:rPr>
          <w:rFonts w:cs="Arial"/>
          <w:szCs w:val="24"/>
        </w:rPr>
        <w:t xml:space="preserve">This finding is in </w:t>
      </w:r>
      <w:r w:rsidR="00573EAF" w:rsidRPr="00CC62FC">
        <w:rPr>
          <w:rFonts w:cs="Arial"/>
          <w:szCs w:val="24"/>
        </w:rPr>
        <w:t xml:space="preserve">keeping with the insight that self-directed learning can form part of a critical pedagogy by empowering students to redress structural exclusions in their curriculum (Brookfield 1993). Indeed, I have observed this in my own teaching where some students taking a module which contains an independent research essay tell me they chose it or enjoy it because it permits them to write about topics such as feminism or LGBT history which they do not consider to be covered well enough in our History curriculum. </w:t>
      </w:r>
      <w:r w:rsidR="00C10519" w:rsidRPr="00CC62FC">
        <w:rPr>
          <w:rFonts w:cs="Arial"/>
          <w:szCs w:val="24"/>
        </w:rPr>
        <w:t xml:space="preserve">This reparative strategy for managing perceived deficiencies in the curriculum does however require tutors and supervisors to have sufficient expertise and sensitivity to support students’ independent learning. Where they do not, the experience is discouraging, as Jon (a </w:t>
      </w:r>
      <w:proofErr w:type="gramStart"/>
      <w:r w:rsidR="00C10519" w:rsidRPr="00CC62FC">
        <w:rPr>
          <w:rFonts w:cs="Arial"/>
          <w:szCs w:val="24"/>
        </w:rPr>
        <w:t>trans</w:t>
      </w:r>
      <w:proofErr w:type="gramEnd"/>
      <w:r w:rsidR="00C10519" w:rsidRPr="00CC62FC">
        <w:rPr>
          <w:rFonts w:cs="Arial"/>
          <w:szCs w:val="24"/>
        </w:rPr>
        <w:t xml:space="preserve"> man who reported </w:t>
      </w:r>
      <w:proofErr w:type="spellStart"/>
      <w:r w:rsidR="00C10519" w:rsidRPr="00CC62FC">
        <w:rPr>
          <w:rFonts w:cs="Arial"/>
          <w:szCs w:val="24"/>
        </w:rPr>
        <w:t>transphobic</w:t>
      </w:r>
      <w:proofErr w:type="spellEnd"/>
      <w:r w:rsidR="00C10519" w:rsidRPr="00CC62FC">
        <w:rPr>
          <w:rFonts w:cs="Arial"/>
          <w:szCs w:val="24"/>
        </w:rPr>
        <w:t xml:space="preserve"> harassment inside and outside class during his Law and Philosophy studies in 2006–10) recalled: ‘I chose to write my dissertation on the GRA [Gender Recognition Act 2004]. My supervisor’s understanding of it was extremely flawed!</w:t>
      </w:r>
      <w:proofErr w:type="gramStart"/>
      <w:r w:rsidR="00C10519" w:rsidRPr="00CC62FC">
        <w:rPr>
          <w:rFonts w:cs="Arial"/>
          <w:szCs w:val="24"/>
        </w:rPr>
        <w:t>’.</w:t>
      </w:r>
      <w:proofErr w:type="gramEnd"/>
      <w:r w:rsidR="00C10519" w:rsidRPr="00CC62FC">
        <w:rPr>
          <w:rFonts w:cs="Arial"/>
          <w:szCs w:val="24"/>
        </w:rPr>
        <w:t xml:space="preserve"> </w:t>
      </w:r>
    </w:p>
    <w:p w14:paraId="6AD927FA" w14:textId="77777777" w:rsidR="001F52C3" w:rsidRDefault="001F52C3" w:rsidP="001F52C3">
      <w:pPr>
        <w:rPr>
          <w:rFonts w:cs="Arial"/>
          <w:szCs w:val="24"/>
        </w:rPr>
      </w:pPr>
    </w:p>
    <w:p w14:paraId="60CD8106" w14:textId="7F880042" w:rsidR="00C10519" w:rsidRPr="00CC62FC" w:rsidRDefault="00C10519" w:rsidP="001F52C3">
      <w:pPr>
        <w:rPr>
          <w:szCs w:val="24"/>
        </w:rPr>
      </w:pPr>
      <w:r w:rsidRPr="00CC62FC">
        <w:rPr>
          <w:rFonts w:cs="Arial"/>
          <w:szCs w:val="24"/>
        </w:rPr>
        <w:t xml:space="preserve">Students in this situation risk being assessed according to a flawed understanding of a topic where they may have more expertise than their tutor, and/or missing out on the quality of supervision and feedback they would have received if supervisors had been better prepared, so that independent research assignments do not fulfil their pedagogical potential. </w:t>
      </w:r>
      <w:r w:rsidR="00F67CA4" w:rsidRPr="00CC62FC">
        <w:rPr>
          <w:rFonts w:cs="Arial"/>
          <w:szCs w:val="24"/>
        </w:rPr>
        <w:t>Indeed, without a good level of supervisory knowledge, even the resources that a library might supply can end up not being used: Jon also commented that ‘[w]</w:t>
      </w:r>
      <w:r w:rsidR="00F67CA4" w:rsidRPr="00CC62FC">
        <w:rPr>
          <w:szCs w:val="24"/>
        </w:rPr>
        <w:t xml:space="preserve">e had access to accurate case law and legislation [on </w:t>
      </w:r>
      <w:proofErr w:type="gramStart"/>
      <w:r w:rsidR="00F67CA4" w:rsidRPr="00CC62FC">
        <w:rPr>
          <w:szCs w:val="24"/>
        </w:rPr>
        <w:t>trans</w:t>
      </w:r>
      <w:proofErr w:type="gramEnd"/>
      <w:r w:rsidR="00F67CA4" w:rsidRPr="00CC62FC">
        <w:rPr>
          <w:szCs w:val="24"/>
        </w:rPr>
        <w:t xml:space="preserve"> rights and gender recognition] but it was never raised.’ </w:t>
      </w:r>
      <w:r w:rsidRPr="00CC62FC">
        <w:rPr>
          <w:rFonts w:cs="Arial"/>
          <w:szCs w:val="24"/>
        </w:rPr>
        <w:t xml:space="preserve">Dominic’s current PhD, on the other hand, demonstrated </w:t>
      </w:r>
      <w:r w:rsidR="007435DB" w:rsidRPr="00CC62FC">
        <w:rPr>
          <w:rFonts w:cs="Arial"/>
          <w:szCs w:val="24"/>
        </w:rPr>
        <w:t xml:space="preserve">that a shared base of knowledge and experience could produce effective supervision: </w:t>
      </w:r>
      <w:r w:rsidRPr="00CC62FC">
        <w:rPr>
          <w:rFonts w:cs="Arial"/>
          <w:szCs w:val="24"/>
        </w:rPr>
        <w:t>‘</w:t>
      </w:r>
      <w:r w:rsidRPr="00CC62FC">
        <w:rPr>
          <w:szCs w:val="24"/>
        </w:rPr>
        <w:t>I think the best exp</w:t>
      </w:r>
      <w:r w:rsidR="007435DB" w:rsidRPr="00CC62FC">
        <w:rPr>
          <w:szCs w:val="24"/>
        </w:rPr>
        <w:t>eriences have been from my PhD –</w:t>
      </w:r>
      <w:r w:rsidR="00EC1CFF" w:rsidRPr="00CC62FC">
        <w:rPr>
          <w:szCs w:val="24"/>
        </w:rPr>
        <w:t xml:space="preserve"> but I’</w:t>
      </w:r>
      <w:r w:rsidRPr="00CC62FC">
        <w:rPr>
          <w:szCs w:val="24"/>
        </w:rPr>
        <w:t xml:space="preserve">m </w:t>
      </w:r>
      <w:proofErr w:type="gramStart"/>
      <w:r w:rsidRPr="00CC62FC">
        <w:rPr>
          <w:szCs w:val="24"/>
        </w:rPr>
        <w:t>trans</w:t>
      </w:r>
      <w:proofErr w:type="gramEnd"/>
      <w:r w:rsidRPr="00CC62FC">
        <w:rPr>
          <w:szCs w:val="24"/>
        </w:rPr>
        <w:t xml:space="preserve"> and so is my supervisor, so it's more a case of </w:t>
      </w:r>
      <w:r w:rsidR="007435DB" w:rsidRPr="00CC62FC">
        <w:rPr>
          <w:szCs w:val="24"/>
        </w:rPr>
        <w:t>us having good conversations rath</w:t>
      </w:r>
      <w:r w:rsidRPr="00CC62FC">
        <w:rPr>
          <w:szCs w:val="24"/>
        </w:rPr>
        <w:t>er than specific teaching.’</w:t>
      </w:r>
      <w:r w:rsidR="007435DB" w:rsidRPr="00CC62FC">
        <w:rPr>
          <w:szCs w:val="24"/>
        </w:rPr>
        <w:t xml:space="preserve"> Self-directed learning </w:t>
      </w:r>
      <w:r w:rsidR="00B1574F" w:rsidRPr="00CC62FC">
        <w:rPr>
          <w:szCs w:val="24"/>
        </w:rPr>
        <w:t>required knowledgeable, up-to-date support from libraries and supervisors. It was also insufficient in creating</w:t>
      </w:r>
      <w:r w:rsidR="007435DB" w:rsidRPr="00CC62FC">
        <w:rPr>
          <w:szCs w:val="24"/>
        </w:rPr>
        <w:t xml:space="preserve"> </w:t>
      </w:r>
      <w:r w:rsidR="00B1574F" w:rsidRPr="00CC62FC">
        <w:rPr>
          <w:szCs w:val="24"/>
        </w:rPr>
        <w:t xml:space="preserve">a </w:t>
      </w:r>
      <w:r w:rsidR="007435DB" w:rsidRPr="00CC62FC">
        <w:rPr>
          <w:szCs w:val="24"/>
        </w:rPr>
        <w:t>curriculum</w:t>
      </w:r>
      <w:r w:rsidR="00B1574F" w:rsidRPr="00CC62FC">
        <w:rPr>
          <w:szCs w:val="24"/>
        </w:rPr>
        <w:t xml:space="preserve"> where </w:t>
      </w:r>
      <w:r w:rsidR="007435DB" w:rsidRPr="00CC62FC">
        <w:rPr>
          <w:szCs w:val="24"/>
        </w:rPr>
        <w:t xml:space="preserve">students such as Tuesday and her classmates would encounter the threshold concepts of </w:t>
      </w:r>
      <w:proofErr w:type="spellStart"/>
      <w:r w:rsidR="007435DB" w:rsidRPr="00CC62FC">
        <w:rPr>
          <w:szCs w:val="24"/>
        </w:rPr>
        <w:t>cisnormativity</w:t>
      </w:r>
      <w:proofErr w:type="spellEnd"/>
      <w:r w:rsidR="007435DB" w:rsidRPr="00CC62FC">
        <w:rPr>
          <w:szCs w:val="24"/>
        </w:rPr>
        <w:t xml:space="preserve"> and the social construction of sex </w:t>
      </w:r>
      <w:r w:rsidR="00187082" w:rsidRPr="00CC62FC">
        <w:rPr>
          <w:szCs w:val="24"/>
        </w:rPr>
        <w:t xml:space="preserve">and gender </w:t>
      </w:r>
      <w:r w:rsidR="007435DB" w:rsidRPr="00CC62FC">
        <w:rPr>
          <w:i/>
          <w:iCs/>
          <w:szCs w:val="24"/>
        </w:rPr>
        <w:t>for the first time</w:t>
      </w:r>
      <w:r w:rsidR="007435DB" w:rsidRPr="00CC62FC">
        <w:rPr>
          <w:szCs w:val="24"/>
        </w:rPr>
        <w:t xml:space="preserve">. </w:t>
      </w:r>
    </w:p>
    <w:p w14:paraId="27DF8E78" w14:textId="77777777" w:rsidR="001F52C3" w:rsidRDefault="001F52C3" w:rsidP="001F52C3">
      <w:pPr>
        <w:rPr>
          <w:szCs w:val="24"/>
        </w:rPr>
      </w:pPr>
    </w:p>
    <w:p w14:paraId="251C211F" w14:textId="5ADC17C0" w:rsidR="008218D7" w:rsidRPr="00CC62FC" w:rsidRDefault="007435DB" w:rsidP="00910FBD">
      <w:pPr>
        <w:rPr>
          <w:szCs w:val="24"/>
        </w:rPr>
      </w:pPr>
      <w:r w:rsidRPr="00CC62FC">
        <w:rPr>
          <w:szCs w:val="24"/>
        </w:rPr>
        <w:t xml:space="preserve">Students who did possess and gain expertise on trans issues through lived experience and/or self-directed learning often found themselves in the position of educating other students (and tutors) in the classroom. </w:t>
      </w:r>
      <w:r w:rsidR="00B37304" w:rsidRPr="00CC62FC">
        <w:rPr>
          <w:szCs w:val="24"/>
        </w:rPr>
        <w:t xml:space="preserve">Metis, for instance, recalled: </w:t>
      </w:r>
    </w:p>
    <w:p w14:paraId="22CDE062" w14:textId="77777777" w:rsidR="00187082" w:rsidRPr="00CC62FC" w:rsidRDefault="00187082" w:rsidP="006E403E">
      <w:pPr>
        <w:ind w:firstLine="284"/>
        <w:rPr>
          <w:szCs w:val="24"/>
        </w:rPr>
      </w:pPr>
    </w:p>
    <w:p w14:paraId="4F25DA01" w14:textId="7062F93D" w:rsidR="00187082" w:rsidRPr="00CC62FC" w:rsidRDefault="00187082" w:rsidP="00187082">
      <w:pPr>
        <w:ind w:left="567" w:right="567"/>
        <w:rPr>
          <w:szCs w:val="24"/>
        </w:rPr>
      </w:pPr>
      <w:r w:rsidRPr="00CC62FC">
        <w:rPr>
          <w:szCs w:val="24"/>
        </w:rPr>
        <w:t>From my Master’s so far</w:t>
      </w:r>
      <w:r w:rsidR="00F67CA4" w:rsidRPr="00CC62FC">
        <w:rPr>
          <w:szCs w:val="24"/>
        </w:rPr>
        <w:t xml:space="preserve"> (one semester), there hasn’</w:t>
      </w:r>
      <w:r w:rsidRPr="00CC62FC">
        <w:rPr>
          <w:szCs w:val="24"/>
        </w:rPr>
        <w:t xml:space="preserve">t been much about </w:t>
      </w:r>
      <w:proofErr w:type="gramStart"/>
      <w:r w:rsidRPr="00CC62FC">
        <w:rPr>
          <w:szCs w:val="24"/>
        </w:rPr>
        <w:t>trans</w:t>
      </w:r>
      <w:proofErr w:type="gramEnd"/>
      <w:r w:rsidRPr="00CC62FC">
        <w:rPr>
          <w:szCs w:val="24"/>
        </w:rPr>
        <w:t xml:space="preserve"> people that wasn’t brought up by me. I’ve mentioned trans issues as examples </w:t>
      </w:r>
      <w:r w:rsidRPr="00CC62FC">
        <w:rPr>
          <w:szCs w:val="24"/>
        </w:rPr>
        <w:lastRenderedPageBreak/>
        <w:t xml:space="preserve">(e.g. when a lecturer asked us to think of examples of health inequalities) and have often been praised by lecturers for bringing them up, and received a pretty positive response to a project I did on trans sexual health, but trans people haven’t really been directly mentioned in the curriculum at all as far as I can remember. […] This kind of thing is really important going forward – my </w:t>
      </w:r>
      <w:proofErr w:type="spellStart"/>
      <w:r w:rsidRPr="00CC62FC">
        <w:rPr>
          <w:szCs w:val="24"/>
        </w:rPr>
        <w:t>cis</w:t>
      </w:r>
      <w:proofErr w:type="spellEnd"/>
      <w:r w:rsidRPr="00CC62FC">
        <w:rPr>
          <w:szCs w:val="24"/>
        </w:rPr>
        <w:t xml:space="preserve"> classmates would often turn to me when I’d brought up trans issues in an example and say things like ‘I would never have thought of that!’. And of course, they won’t, unless </w:t>
      </w:r>
      <w:proofErr w:type="gramStart"/>
      <w:r w:rsidRPr="00CC62FC">
        <w:rPr>
          <w:szCs w:val="24"/>
        </w:rPr>
        <w:t>trans</w:t>
      </w:r>
      <w:proofErr w:type="gramEnd"/>
      <w:r w:rsidRPr="00CC62FC">
        <w:rPr>
          <w:szCs w:val="24"/>
        </w:rPr>
        <w:t xml:space="preserve"> people are brought into their awareness in the context of their course. </w:t>
      </w:r>
    </w:p>
    <w:p w14:paraId="0B9412D8" w14:textId="77777777" w:rsidR="008218D7" w:rsidRPr="00CC62FC" w:rsidRDefault="008218D7" w:rsidP="006E403E">
      <w:pPr>
        <w:ind w:firstLine="284"/>
        <w:rPr>
          <w:szCs w:val="24"/>
        </w:rPr>
      </w:pPr>
    </w:p>
    <w:p w14:paraId="00653657" w14:textId="4F1CE60E" w:rsidR="00187082" w:rsidRPr="00CC62FC" w:rsidRDefault="00187082" w:rsidP="00216ADD">
      <w:pPr>
        <w:rPr>
          <w:szCs w:val="24"/>
        </w:rPr>
      </w:pPr>
      <w:r w:rsidRPr="00CC62FC">
        <w:rPr>
          <w:szCs w:val="24"/>
        </w:rPr>
        <w:t xml:space="preserve">Connor, similarly, could ‘think of only two times </w:t>
      </w:r>
      <w:proofErr w:type="gramStart"/>
      <w:r w:rsidRPr="00CC62FC">
        <w:rPr>
          <w:szCs w:val="24"/>
        </w:rPr>
        <w:t>trans</w:t>
      </w:r>
      <w:proofErr w:type="gramEnd"/>
      <w:r w:rsidRPr="00CC62FC">
        <w:rPr>
          <w:szCs w:val="24"/>
        </w:rPr>
        <w:t xml:space="preserve"> issues were raised in a tutorial (both by me)’</w:t>
      </w:r>
      <w:r w:rsidR="00216ADD" w:rsidRPr="00CC62FC">
        <w:rPr>
          <w:szCs w:val="24"/>
        </w:rPr>
        <w:t xml:space="preserve">, during classes on feminism </w:t>
      </w:r>
      <w:r w:rsidR="006A6DF1" w:rsidRPr="00CC62FC">
        <w:rPr>
          <w:szCs w:val="24"/>
        </w:rPr>
        <w:t xml:space="preserve">(where fellow students seemed ‘largely uncomfortable’ but the tutor was ‘warm and engaging’) </w:t>
      </w:r>
      <w:r w:rsidR="00216ADD" w:rsidRPr="00CC62FC">
        <w:rPr>
          <w:szCs w:val="24"/>
        </w:rPr>
        <w:t>and Marxism</w:t>
      </w:r>
      <w:r w:rsidR="006A6DF1" w:rsidRPr="00CC62FC">
        <w:rPr>
          <w:szCs w:val="24"/>
        </w:rPr>
        <w:t xml:space="preserve"> (where the tutor had been eager to learn)</w:t>
      </w:r>
      <w:r w:rsidR="00216ADD" w:rsidRPr="00CC62FC">
        <w:rPr>
          <w:szCs w:val="24"/>
        </w:rPr>
        <w:t xml:space="preserve">. Sophie, an arts student in 2001–9, recognised the potential of her discipline’s pedagogy to create space for </w:t>
      </w:r>
      <w:proofErr w:type="gramStart"/>
      <w:r w:rsidR="00216ADD" w:rsidRPr="00CC62FC">
        <w:rPr>
          <w:szCs w:val="24"/>
        </w:rPr>
        <w:t>trans</w:t>
      </w:r>
      <w:proofErr w:type="gramEnd"/>
      <w:r w:rsidR="00216ADD" w:rsidRPr="00CC62FC">
        <w:rPr>
          <w:szCs w:val="24"/>
        </w:rPr>
        <w:t xml:space="preserve"> inclusivity but did not think this had happened in practice:</w:t>
      </w:r>
    </w:p>
    <w:p w14:paraId="4B297B52" w14:textId="77777777" w:rsidR="00216ADD" w:rsidRPr="00CC62FC" w:rsidRDefault="00216ADD" w:rsidP="00216ADD">
      <w:pPr>
        <w:ind w:firstLine="284"/>
        <w:rPr>
          <w:szCs w:val="24"/>
        </w:rPr>
      </w:pPr>
    </w:p>
    <w:p w14:paraId="151030BA" w14:textId="1EC1C74C" w:rsidR="00216ADD" w:rsidRPr="00CC62FC" w:rsidRDefault="00216ADD" w:rsidP="00216ADD">
      <w:pPr>
        <w:ind w:left="567" w:right="567"/>
        <w:rPr>
          <w:szCs w:val="24"/>
        </w:rPr>
      </w:pPr>
      <w:r w:rsidRPr="00CC62FC">
        <w:rPr>
          <w:szCs w:val="24"/>
        </w:rPr>
        <w:t xml:space="preserve">I have no recollection of </w:t>
      </w:r>
      <w:proofErr w:type="gramStart"/>
      <w:r w:rsidRPr="00CC62FC">
        <w:rPr>
          <w:szCs w:val="24"/>
        </w:rPr>
        <w:t>trans</w:t>
      </w:r>
      <w:proofErr w:type="gramEnd"/>
      <w:r w:rsidRPr="00CC62FC">
        <w:rPr>
          <w:szCs w:val="24"/>
        </w:rPr>
        <w:t xml:space="preserve"> or non-binary issues being explicitly covered in any of the institutions I attended, though the frame of art practice and study is very much student led, and therefore allowed for students to bring t</w:t>
      </w:r>
      <w:r w:rsidR="009F75F3" w:rsidRPr="00CC62FC">
        <w:rPr>
          <w:szCs w:val="24"/>
        </w:rPr>
        <w:t>his issues into the room. I don’</w:t>
      </w:r>
      <w:r w:rsidRPr="00CC62FC">
        <w:rPr>
          <w:szCs w:val="24"/>
        </w:rPr>
        <w:t xml:space="preserve">t remember this happening, beyond the most surface references to Frida Kahlo’s non-binary identification, or, worse, discriminatory references to </w:t>
      </w:r>
      <w:proofErr w:type="gramStart"/>
      <w:r w:rsidRPr="00CC62FC">
        <w:rPr>
          <w:szCs w:val="24"/>
        </w:rPr>
        <w:t>trans</w:t>
      </w:r>
      <w:proofErr w:type="gramEnd"/>
      <w:r w:rsidRPr="00CC62FC">
        <w:rPr>
          <w:szCs w:val="24"/>
        </w:rPr>
        <w:t xml:space="preserve"> or non-binary students. I'm not convinced the staff were well versed in gender politics.</w:t>
      </w:r>
    </w:p>
    <w:p w14:paraId="46B2DBF7" w14:textId="77777777" w:rsidR="00216ADD" w:rsidRPr="00CC62FC" w:rsidRDefault="00216ADD" w:rsidP="00216ADD">
      <w:pPr>
        <w:ind w:firstLine="284"/>
        <w:rPr>
          <w:szCs w:val="24"/>
        </w:rPr>
      </w:pPr>
    </w:p>
    <w:p w14:paraId="7A269A66" w14:textId="23D34276" w:rsidR="007435DB" w:rsidRPr="00CC62FC" w:rsidRDefault="00216ADD" w:rsidP="00910FBD">
      <w:pPr>
        <w:rPr>
          <w:szCs w:val="24"/>
        </w:rPr>
      </w:pPr>
      <w:r w:rsidRPr="00CC62FC">
        <w:rPr>
          <w:szCs w:val="24"/>
        </w:rPr>
        <w:t xml:space="preserve">Achieving </w:t>
      </w:r>
      <w:proofErr w:type="gramStart"/>
      <w:r w:rsidRPr="00CC62FC">
        <w:rPr>
          <w:szCs w:val="24"/>
        </w:rPr>
        <w:t>trans</w:t>
      </w:r>
      <w:proofErr w:type="gramEnd"/>
      <w:r w:rsidRPr="00CC62FC">
        <w:rPr>
          <w:szCs w:val="24"/>
        </w:rPr>
        <w:t xml:space="preserve"> coverage through student intervention might have been effective in a particular student’s seminar group, but could not be described as a component of an inclusive </w:t>
      </w:r>
      <w:r w:rsidRPr="00CC62FC">
        <w:rPr>
          <w:i/>
          <w:iCs/>
          <w:szCs w:val="24"/>
        </w:rPr>
        <w:t>curriculum</w:t>
      </w:r>
      <w:r w:rsidRPr="00CC62FC">
        <w:rPr>
          <w:szCs w:val="24"/>
        </w:rPr>
        <w:t xml:space="preserve">; instead, it left </w:t>
      </w:r>
      <w:r w:rsidR="007435DB" w:rsidRPr="00CC62FC">
        <w:rPr>
          <w:szCs w:val="24"/>
        </w:rPr>
        <w:t xml:space="preserve">students substituting for an institutional lack of knowledge, resources and planning. In such cases, whether and how </w:t>
      </w:r>
      <w:proofErr w:type="gramStart"/>
      <w:r w:rsidR="007435DB" w:rsidRPr="00CC62FC">
        <w:rPr>
          <w:szCs w:val="24"/>
        </w:rPr>
        <w:t>trans</w:t>
      </w:r>
      <w:proofErr w:type="gramEnd"/>
      <w:r w:rsidR="007435DB" w:rsidRPr="00CC62FC">
        <w:rPr>
          <w:szCs w:val="24"/>
        </w:rPr>
        <w:t xml:space="preserve"> issues were discussed was contingent on knowledgeable students being both present and willing to contribute (in a setting where they may often have been unsure of how students and tutors would respond). </w:t>
      </w:r>
      <w:r w:rsidR="00777759" w:rsidRPr="00CC62FC">
        <w:rPr>
          <w:szCs w:val="24"/>
        </w:rPr>
        <w:t xml:space="preserve">This left them facing what hooks (1994: 43–4) terms (in discussing teaching about race) ‘unfair responsibility’ as an objectified ‘native informant’, where this burden should instead be carried by the </w:t>
      </w:r>
      <w:r w:rsidR="00777759" w:rsidRPr="00CC62FC">
        <w:rPr>
          <w:i/>
          <w:iCs/>
          <w:szCs w:val="24"/>
        </w:rPr>
        <w:t>designer</w:t>
      </w:r>
      <w:r w:rsidR="00777759" w:rsidRPr="00CC62FC">
        <w:rPr>
          <w:szCs w:val="24"/>
        </w:rPr>
        <w:t xml:space="preserve"> of teaching and learning. T</w:t>
      </w:r>
      <w:r w:rsidR="007435DB" w:rsidRPr="00CC62FC">
        <w:rPr>
          <w:szCs w:val="24"/>
        </w:rPr>
        <w:t xml:space="preserve">he pedagogical effect of student interventions would </w:t>
      </w:r>
      <w:r w:rsidR="00777759" w:rsidRPr="00CC62FC">
        <w:rPr>
          <w:szCs w:val="24"/>
        </w:rPr>
        <w:t xml:space="preserve">moreover </w:t>
      </w:r>
      <w:r w:rsidR="007435DB" w:rsidRPr="00CC62FC">
        <w:rPr>
          <w:szCs w:val="24"/>
        </w:rPr>
        <w:t>depend on how tutors legitimised the contribution</w:t>
      </w:r>
      <w:r w:rsidR="00777759" w:rsidRPr="00CC62FC">
        <w:rPr>
          <w:szCs w:val="24"/>
        </w:rPr>
        <w:t>; i</w:t>
      </w:r>
      <w:r w:rsidR="007435DB" w:rsidRPr="00CC62FC">
        <w:rPr>
          <w:szCs w:val="24"/>
        </w:rPr>
        <w:t xml:space="preserve">f </w:t>
      </w:r>
      <w:r w:rsidRPr="00CC62FC">
        <w:rPr>
          <w:szCs w:val="24"/>
        </w:rPr>
        <w:t xml:space="preserve">the tutor </w:t>
      </w:r>
      <w:r w:rsidR="007435DB" w:rsidRPr="00CC62FC">
        <w:rPr>
          <w:szCs w:val="24"/>
        </w:rPr>
        <w:t xml:space="preserve">dismissed </w:t>
      </w:r>
      <w:r w:rsidRPr="00CC62FC">
        <w:rPr>
          <w:szCs w:val="24"/>
        </w:rPr>
        <w:t xml:space="preserve">it </w:t>
      </w:r>
      <w:r w:rsidR="006E403E" w:rsidRPr="00CC62FC">
        <w:rPr>
          <w:szCs w:val="24"/>
        </w:rPr>
        <w:t xml:space="preserve">or shut </w:t>
      </w:r>
      <w:r w:rsidRPr="00CC62FC">
        <w:rPr>
          <w:szCs w:val="24"/>
        </w:rPr>
        <w:t xml:space="preserve">it </w:t>
      </w:r>
      <w:r w:rsidR="006E403E" w:rsidRPr="00CC62FC">
        <w:rPr>
          <w:szCs w:val="24"/>
        </w:rPr>
        <w:t>down, other students might not treat the knowledge as valid and the impact on the student-contributor could also be distressing</w:t>
      </w:r>
      <w:r w:rsidR="007435DB" w:rsidRPr="00CC62FC">
        <w:rPr>
          <w:szCs w:val="24"/>
        </w:rPr>
        <w:t xml:space="preserve">. </w:t>
      </w:r>
      <w:r w:rsidRPr="00CC62FC">
        <w:rPr>
          <w:szCs w:val="24"/>
        </w:rPr>
        <w:t xml:space="preserve">This was the case for another </w:t>
      </w:r>
      <w:r w:rsidR="00777759" w:rsidRPr="00CC62FC">
        <w:rPr>
          <w:szCs w:val="24"/>
        </w:rPr>
        <w:t>respondent</w:t>
      </w:r>
      <w:r w:rsidRPr="00CC62FC">
        <w:rPr>
          <w:szCs w:val="24"/>
        </w:rPr>
        <w:t xml:space="preserve"> who described all but one of his tutors looking annoyed when he brought </w:t>
      </w:r>
      <w:proofErr w:type="gramStart"/>
      <w:r w:rsidRPr="00CC62FC">
        <w:rPr>
          <w:szCs w:val="24"/>
        </w:rPr>
        <w:t>trans</w:t>
      </w:r>
      <w:proofErr w:type="gramEnd"/>
      <w:r w:rsidRPr="00CC62FC">
        <w:rPr>
          <w:szCs w:val="24"/>
        </w:rPr>
        <w:t xml:space="preserve"> issues up in class. It had had an even greater </w:t>
      </w:r>
      <w:r w:rsidR="00F67CA4" w:rsidRPr="00CC62FC">
        <w:rPr>
          <w:szCs w:val="24"/>
        </w:rPr>
        <w:t xml:space="preserve">effect on Dominic, whose account of a confrontation with his tutor over the history of Catalina/Alonso </w:t>
      </w:r>
      <w:proofErr w:type="spellStart"/>
      <w:r w:rsidR="00F67CA4" w:rsidRPr="00CC62FC">
        <w:rPr>
          <w:szCs w:val="24"/>
        </w:rPr>
        <w:t>Erauso</w:t>
      </w:r>
      <w:proofErr w:type="spellEnd"/>
      <w:r w:rsidR="00F67CA4" w:rsidRPr="00CC62FC">
        <w:rPr>
          <w:szCs w:val="24"/>
        </w:rPr>
        <w:t xml:space="preserve"> </w:t>
      </w:r>
      <w:r w:rsidR="00777759" w:rsidRPr="00CC62FC">
        <w:rPr>
          <w:szCs w:val="24"/>
        </w:rPr>
        <w:t xml:space="preserve">(below) demonstrates that classroom </w:t>
      </w:r>
      <w:proofErr w:type="spellStart"/>
      <w:r w:rsidR="00777759" w:rsidRPr="00CC62FC">
        <w:rPr>
          <w:szCs w:val="24"/>
        </w:rPr>
        <w:t>microaggressions</w:t>
      </w:r>
      <w:proofErr w:type="spellEnd"/>
      <w:r w:rsidR="00777759" w:rsidRPr="00CC62FC">
        <w:rPr>
          <w:szCs w:val="24"/>
        </w:rPr>
        <w:t xml:space="preserve"> could compromise attempts to include gender non-conformity in the curriculum (Hypothesis 2) with repercussions that could extend far beyond the immediate learning activity</w:t>
      </w:r>
      <w:r w:rsidR="007571DB" w:rsidRPr="00CC62FC">
        <w:rPr>
          <w:szCs w:val="24"/>
        </w:rPr>
        <w:t>.</w:t>
      </w:r>
      <w:r w:rsidRPr="00CC62FC">
        <w:rPr>
          <w:szCs w:val="24"/>
        </w:rPr>
        <w:t xml:space="preserve"> </w:t>
      </w:r>
    </w:p>
    <w:p w14:paraId="44498032" w14:textId="77777777" w:rsidR="006E403E" w:rsidRPr="00CC62FC" w:rsidRDefault="006E403E" w:rsidP="006E403E">
      <w:pPr>
        <w:ind w:firstLine="284"/>
        <w:rPr>
          <w:szCs w:val="24"/>
        </w:rPr>
      </w:pPr>
    </w:p>
    <w:p w14:paraId="52C7DCA6" w14:textId="032F7023" w:rsidR="006E403E" w:rsidRPr="00CC62FC" w:rsidRDefault="00C55588" w:rsidP="006E403E">
      <w:pPr>
        <w:rPr>
          <w:i/>
          <w:iCs/>
          <w:szCs w:val="24"/>
        </w:rPr>
      </w:pPr>
      <w:r>
        <w:rPr>
          <w:i/>
          <w:iCs/>
          <w:szCs w:val="24"/>
        </w:rPr>
        <w:t xml:space="preserve">2.3 </w:t>
      </w:r>
      <w:r w:rsidR="006E403E" w:rsidRPr="00CC62FC">
        <w:rPr>
          <w:i/>
          <w:iCs/>
          <w:szCs w:val="24"/>
        </w:rPr>
        <w:t>The classroom environment</w:t>
      </w:r>
    </w:p>
    <w:p w14:paraId="371C35EA" w14:textId="77777777" w:rsidR="007435DB" w:rsidRPr="00CC62FC" w:rsidRDefault="007435DB" w:rsidP="007435DB">
      <w:pPr>
        <w:ind w:firstLine="284"/>
        <w:rPr>
          <w:szCs w:val="24"/>
        </w:rPr>
      </w:pPr>
    </w:p>
    <w:p w14:paraId="5D71DE34" w14:textId="4FD51BCB" w:rsidR="006E403E" w:rsidRPr="00CC62FC" w:rsidRDefault="007571DB" w:rsidP="00910FBD">
      <w:pPr>
        <w:rPr>
          <w:szCs w:val="24"/>
        </w:rPr>
      </w:pPr>
      <w:r w:rsidRPr="00CC62FC">
        <w:rPr>
          <w:szCs w:val="24"/>
        </w:rPr>
        <w:t>Hypothesis 2, that classroom ‘</w:t>
      </w:r>
      <w:proofErr w:type="spellStart"/>
      <w:r w:rsidRPr="00CC62FC">
        <w:rPr>
          <w:szCs w:val="24"/>
        </w:rPr>
        <w:t>microaggressions</w:t>
      </w:r>
      <w:proofErr w:type="spellEnd"/>
      <w:r w:rsidRPr="00CC62FC">
        <w:rPr>
          <w:szCs w:val="24"/>
        </w:rPr>
        <w:t xml:space="preserve">’ would be likely to compromise efforts towards trans-inclusive curricula that have been made, is borne out for at least some students. The risk of covering trans issues when instructors are poorly prepared or, worse, personally indisposed to covering them sensitively (that is, actively </w:t>
      </w:r>
      <w:proofErr w:type="spellStart"/>
      <w:r w:rsidRPr="00CC62FC">
        <w:rPr>
          <w:szCs w:val="24"/>
        </w:rPr>
        <w:t>transphobic</w:t>
      </w:r>
      <w:proofErr w:type="spellEnd"/>
      <w:r w:rsidRPr="00CC62FC">
        <w:rPr>
          <w:szCs w:val="24"/>
        </w:rPr>
        <w:t xml:space="preserve">) is that trans </w:t>
      </w:r>
      <w:r w:rsidRPr="00CC62FC">
        <w:rPr>
          <w:szCs w:val="24"/>
        </w:rPr>
        <w:lastRenderedPageBreak/>
        <w:t xml:space="preserve">students may be left distressed by </w:t>
      </w:r>
      <w:proofErr w:type="spellStart"/>
      <w:r w:rsidRPr="00CC62FC">
        <w:rPr>
          <w:szCs w:val="24"/>
        </w:rPr>
        <w:t>microaggressions</w:t>
      </w:r>
      <w:proofErr w:type="spellEnd"/>
      <w:r w:rsidRPr="00CC62FC">
        <w:rPr>
          <w:szCs w:val="24"/>
        </w:rPr>
        <w:t xml:space="preserve"> and erasure and that </w:t>
      </w:r>
      <w:proofErr w:type="spellStart"/>
      <w:r w:rsidRPr="00CC62FC">
        <w:rPr>
          <w:szCs w:val="24"/>
        </w:rPr>
        <w:t>cis</w:t>
      </w:r>
      <w:proofErr w:type="spellEnd"/>
      <w:r w:rsidRPr="00CC62FC">
        <w:rPr>
          <w:szCs w:val="24"/>
        </w:rPr>
        <w:t xml:space="preserve"> students will gain incom</w:t>
      </w:r>
      <w:r w:rsidR="009924E5" w:rsidRPr="00CC62FC">
        <w:rPr>
          <w:szCs w:val="24"/>
        </w:rPr>
        <w:t>plete or flawed understanding. 3</w:t>
      </w:r>
      <w:r w:rsidRPr="00CC62FC">
        <w:rPr>
          <w:szCs w:val="24"/>
        </w:rPr>
        <w:t xml:space="preserve"> students, all </w:t>
      </w:r>
      <w:proofErr w:type="gramStart"/>
      <w:r w:rsidRPr="00CC62FC">
        <w:rPr>
          <w:szCs w:val="24"/>
        </w:rPr>
        <w:t>trans</w:t>
      </w:r>
      <w:proofErr w:type="gramEnd"/>
      <w:r w:rsidRPr="00CC62FC">
        <w:rPr>
          <w:szCs w:val="24"/>
        </w:rPr>
        <w:t xml:space="preserve">, reported particularly negative classroom experiences. Jon, when asked what the classroom experience had been like, wrote: </w:t>
      </w:r>
      <w:r w:rsidRPr="00CC62FC">
        <w:rPr>
          <w:rFonts w:cs="Arial"/>
          <w:szCs w:val="24"/>
        </w:rPr>
        <w:t>‘</w:t>
      </w:r>
      <w:r w:rsidRPr="00CC62FC">
        <w:rPr>
          <w:szCs w:val="24"/>
        </w:rPr>
        <w:t xml:space="preserve">It was only raised as a joke. A male tutor asked a </w:t>
      </w:r>
      <w:proofErr w:type="spellStart"/>
      <w:r w:rsidRPr="00CC62FC">
        <w:rPr>
          <w:szCs w:val="24"/>
        </w:rPr>
        <w:t>cis</w:t>
      </w:r>
      <w:proofErr w:type="spellEnd"/>
      <w:r w:rsidRPr="00CC62FC">
        <w:rPr>
          <w:szCs w:val="24"/>
        </w:rPr>
        <w:t xml:space="preserve"> girl in front of the class if she had a penis. Such jokes were made by staff despite knowing they had at least two transsexual students.’ Another student, at university since 2013 (well after the Equalities Act 2010 came into force and universities should have been expected to address this), felt that one of his tutors had gone out of his way to be pejorative towards trans people even when discussing unrelated topics, that he had been unfairly assessed when tutors knew that he was trans</w:t>
      </w:r>
      <w:r w:rsidR="009924E5" w:rsidRPr="00CC62FC">
        <w:rPr>
          <w:szCs w:val="24"/>
        </w:rPr>
        <w:t xml:space="preserve">, and that his department had not acted on </w:t>
      </w:r>
      <w:proofErr w:type="spellStart"/>
      <w:r w:rsidR="009924E5" w:rsidRPr="00CC62FC">
        <w:rPr>
          <w:szCs w:val="24"/>
        </w:rPr>
        <w:t>transphobic</w:t>
      </w:r>
      <w:proofErr w:type="spellEnd"/>
      <w:r w:rsidR="009924E5" w:rsidRPr="00CC62FC">
        <w:rPr>
          <w:szCs w:val="24"/>
        </w:rPr>
        <w:t xml:space="preserve"> behaviour by staff even after students had reported it on module evaluations</w:t>
      </w:r>
      <w:r w:rsidRPr="00CC62FC">
        <w:rPr>
          <w:szCs w:val="24"/>
        </w:rPr>
        <w:t xml:space="preserve">. </w:t>
      </w:r>
      <w:r w:rsidR="009924E5" w:rsidRPr="00CC62FC">
        <w:rPr>
          <w:szCs w:val="24"/>
        </w:rPr>
        <w:t xml:space="preserve">He also reported that his friends’ lecturers had described </w:t>
      </w:r>
      <w:proofErr w:type="gramStart"/>
      <w:r w:rsidR="009924E5" w:rsidRPr="00CC62FC">
        <w:rPr>
          <w:szCs w:val="24"/>
        </w:rPr>
        <w:t>trans</w:t>
      </w:r>
      <w:proofErr w:type="gramEnd"/>
      <w:r w:rsidR="009924E5" w:rsidRPr="00CC62FC">
        <w:rPr>
          <w:szCs w:val="24"/>
        </w:rPr>
        <w:t xml:space="preserve"> people as deceptive of their sexual partners, used slurs against intersex people and refused to be corrected, and </w:t>
      </w:r>
      <w:proofErr w:type="spellStart"/>
      <w:r w:rsidR="009924E5" w:rsidRPr="00CC62FC">
        <w:rPr>
          <w:szCs w:val="24"/>
        </w:rPr>
        <w:t>misgendered</w:t>
      </w:r>
      <w:proofErr w:type="spellEnd"/>
      <w:r w:rsidR="009924E5" w:rsidRPr="00CC62FC">
        <w:rPr>
          <w:szCs w:val="24"/>
        </w:rPr>
        <w:t xml:space="preserve"> a supervisee. </w:t>
      </w:r>
      <w:r w:rsidRPr="00CC62FC">
        <w:rPr>
          <w:szCs w:val="24"/>
        </w:rPr>
        <w:t>The longest account came from Dominic, for whom a</w:t>
      </w:r>
      <w:r w:rsidR="00D43BB0" w:rsidRPr="00CC62FC">
        <w:rPr>
          <w:szCs w:val="24"/>
        </w:rPr>
        <w:t xml:space="preserve">n incident of </w:t>
      </w:r>
      <w:proofErr w:type="gramStart"/>
      <w:r w:rsidR="00D43BB0" w:rsidRPr="00CC62FC">
        <w:rPr>
          <w:szCs w:val="24"/>
        </w:rPr>
        <w:t>trans</w:t>
      </w:r>
      <w:proofErr w:type="gramEnd"/>
      <w:r w:rsidR="00D43BB0" w:rsidRPr="00CC62FC">
        <w:rPr>
          <w:szCs w:val="24"/>
        </w:rPr>
        <w:t xml:space="preserve"> erasure during an undergraduate class </w:t>
      </w:r>
      <w:r w:rsidR="000F5CC1" w:rsidRPr="00CC62FC">
        <w:rPr>
          <w:szCs w:val="24"/>
        </w:rPr>
        <w:t xml:space="preserve">had potentially </w:t>
      </w:r>
      <w:r w:rsidR="00D43BB0" w:rsidRPr="00CC62FC">
        <w:rPr>
          <w:szCs w:val="24"/>
        </w:rPr>
        <w:t>affect</w:t>
      </w:r>
      <w:r w:rsidR="000F5CC1" w:rsidRPr="00CC62FC">
        <w:rPr>
          <w:szCs w:val="24"/>
        </w:rPr>
        <w:t>ed</w:t>
      </w:r>
      <w:r w:rsidR="00D43BB0" w:rsidRPr="00CC62FC">
        <w:rPr>
          <w:szCs w:val="24"/>
        </w:rPr>
        <w:t xml:space="preserve"> his attitude to studying LGBT topics even as a postgraduate:</w:t>
      </w:r>
    </w:p>
    <w:p w14:paraId="77EE1859" w14:textId="77777777" w:rsidR="007435DB" w:rsidRPr="00CC62FC" w:rsidRDefault="007435DB" w:rsidP="007435DB">
      <w:pPr>
        <w:ind w:firstLine="284"/>
        <w:rPr>
          <w:rFonts w:cs="Arial"/>
          <w:szCs w:val="24"/>
        </w:rPr>
      </w:pPr>
    </w:p>
    <w:p w14:paraId="1CD6D361" w14:textId="5C1D61C4" w:rsidR="00D43BB0" w:rsidRPr="00CC62FC" w:rsidRDefault="00D43BB0" w:rsidP="00D43BB0">
      <w:pPr>
        <w:autoSpaceDE w:val="0"/>
        <w:autoSpaceDN w:val="0"/>
        <w:adjustRightInd w:val="0"/>
        <w:ind w:left="567" w:right="567"/>
        <w:rPr>
          <w:rFonts w:cs="Times New Roman"/>
          <w:szCs w:val="24"/>
        </w:rPr>
      </w:pPr>
      <w:r w:rsidRPr="00CC62FC">
        <w:rPr>
          <w:rFonts w:cs="Times New Roman"/>
          <w:szCs w:val="24"/>
        </w:rPr>
        <w:t xml:space="preserve">I did an undergraduate module in a history degree […] which featured the case of </w:t>
      </w:r>
      <w:r w:rsidR="000F5CC1" w:rsidRPr="00CC62FC">
        <w:rPr>
          <w:rFonts w:cs="Times New Roman"/>
          <w:szCs w:val="24"/>
        </w:rPr>
        <w:t xml:space="preserve">Catalina/Alonso de </w:t>
      </w:r>
      <w:proofErr w:type="spellStart"/>
      <w:r w:rsidR="000F5CC1" w:rsidRPr="00CC62FC">
        <w:rPr>
          <w:rFonts w:cs="Times New Roman"/>
          <w:szCs w:val="24"/>
        </w:rPr>
        <w:t>Erauso</w:t>
      </w:r>
      <w:proofErr w:type="spellEnd"/>
      <w:r w:rsidR="000F5CC1" w:rsidRPr="00CC62FC">
        <w:rPr>
          <w:rFonts w:cs="Times New Roman"/>
          <w:szCs w:val="24"/>
        </w:rPr>
        <w:t xml:space="preserve"> (a seven</w:t>
      </w:r>
      <w:r w:rsidRPr="00CC62FC">
        <w:rPr>
          <w:rFonts w:cs="Times New Roman"/>
          <w:szCs w:val="24"/>
        </w:rPr>
        <w:t xml:space="preserve">teenth century person assigned female at birth, but who appears to have voluntarily lived most of their life as male, and was eventually granted papal permission to live in male clothes). However, my lecturer started talking about </w:t>
      </w:r>
      <w:proofErr w:type="spellStart"/>
      <w:r w:rsidRPr="00CC62FC">
        <w:rPr>
          <w:rFonts w:cs="Times New Roman"/>
          <w:szCs w:val="24"/>
        </w:rPr>
        <w:t>Erauso</w:t>
      </w:r>
      <w:proofErr w:type="spellEnd"/>
      <w:r w:rsidRPr="00CC62FC">
        <w:rPr>
          <w:rFonts w:cs="Times New Roman"/>
          <w:szCs w:val="24"/>
        </w:rPr>
        <w:t xml:space="preserve"> ‘really’ being a woman. I challenged the assumption that </w:t>
      </w:r>
      <w:proofErr w:type="spellStart"/>
      <w:r w:rsidRPr="00CC62FC">
        <w:rPr>
          <w:rFonts w:cs="Times New Roman"/>
          <w:szCs w:val="24"/>
        </w:rPr>
        <w:t>Erauso</w:t>
      </w:r>
      <w:proofErr w:type="spellEnd"/>
      <w:r w:rsidRPr="00CC62FC">
        <w:rPr>
          <w:rFonts w:cs="Times New Roman"/>
          <w:szCs w:val="24"/>
        </w:rPr>
        <w:t xml:space="preserve"> was really a woman, given that it seems clear his preference was to live as male. The lecturer assumed I hadn’t understood the story properly and dismissed my point.</w:t>
      </w:r>
    </w:p>
    <w:p w14:paraId="0866B2D4" w14:textId="77777777" w:rsidR="006A6DF1" w:rsidRPr="00CC62FC" w:rsidRDefault="006A6DF1" w:rsidP="00D43BB0">
      <w:pPr>
        <w:autoSpaceDE w:val="0"/>
        <w:autoSpaceDN w:val="0"/>
        <w:adjustRightInd w:val="0"/>
        <w:ind w:left="567" w:right="567"/>
        <w:rPr>
          <w:rFonts w:cs="Times New Roman"/>
          <w:szCs w:val="24"/>
        </w:rPr>
      </w:pPr>
    </w:p>
    <w:p w14:paraId="66E72556" w14:textId="2CECF0EF" w:rsidR="006A6DF1" w:rsidRPr="00CC62FC" w:rsidRDefault="006A6DF1" w:rsidP="00D43BB0">
      <w:pPr>
        <w:autoSpaceDE w:val="0"/>
        <w:autoSpaceDN w:val="0"/>
        <w:adjustRightInd w:val="0"/>
        <w:ind w:left="567" w:right="567"/>
        <w:rPr>
          <w:rFonts w:cs="Times New Roman"/>
          <w:szCs w:val="24"/>
        </w:rPr>
      </w:pPr>
      <w:r w:rsidRPr="00CC62FC">
        <w:rPr>
          <w:rFonts w:cs="Times New Roman"/>
          <w:szCs w:val="24"/>
        </w:rPr>
        <w:t xml:space="preserve">[…] </w:t>
      </w:r>
      <w:r w:rsidRPr="00CC62FC">
        <w:rPr>
          <w:szCs w:val="24"/>
        </w:rPr>
        <w:t xml:space="preserve">When I attempted to correct my lecturer on her statement that </w:t>
      </w:r>
      <w:proofErr w:type="spellStart"/>
      <w:r w:rsidRPr="00CC62FC">
        <w:rPr>
          <w:szCs w:val="24"/>
        </w:rPr>
        <w:t>Erauso</w:t>
      </w:r>
      <w:proofErr w:type="spellEnd"/>
      <w:r w:rsidRPr="00CC62FC">
        <w:rPr>
          <w:szCs w:val="24"/>
        </w:rPr>
        <w:t xml:space="preserve"> was ‘really’ a woman, I was in the rather uncomfortable situation where she did not know I wa</w:t>
      </w:r>
      <w:r w:rsidR="002F7090" w:rsidRPr="00CC62FC">
        <w:rPr>
          <w:szCs w:val="24"/>
        </w:rPr>
        <w:t>s trans (I don’</w:t>
      </w:r>
      <w:r w:rsidRPr="00CC62FC">
        <w:rPr>
          <w:szCs w:val="24"/>
        </w:rPr>
        <w:t xml:space="preserve">t think) but several of my fellow students did, although I had never discussed it with them. So although no-one said anything, I personally felt quite embarrassed and that other students might think I was being over-sensitive as a </w:t>
      </w:r>
      <w:proofErr w:type="gramStart"/>
      <w:r w:rsidRPr="00CC62FC">
        <w:rPr>
          <w:szCs w:val="24"/>
        </w:rPr>
        <w:t>trans</w:t>
      </w:r>
      <w:proofErr w:type="gramEnd"/>
      <w:r w:rsidRPr="00CC62FC">
        <w:rPr>
          <w:szCs w:val="24"/>
        </w:rPr>
        <w:t xml:space="preserve"> person (although this is absolutely me projecting). I think the lecturer saw it as so self-evidently true that </w:t>
      </w:r>
      <w:proofErr w:type="spellStart"/>
      <w:r w:rsidRPr="00CC62FC">
        <w:rPr>
          <w:szCs w:val="24"/>
        </w:rPr>
        <w:t>Erauso</w:t>
      </w:r>
      <w:proofErr w:type="spellEnd"/>
      <w:r w:rsidRPr="00CC62FC">
        <w:rPr>
          <w:szCs w:val="24"/>
        </w:rPr>
        <w:t xml:space="preserve"> was ‘really’ a woman that she did not understand my point and assumed I hadn't read the text properly, so dismissed me. This would have been in around 2006, but I can still remember the experience as humiliating.</w:t>
      </w:r>
    </w:p>
    <w:p w14:paraId="623BC87B" w14:textId="77777777" w:rsidR="00D43BB0" w:rsidRPr="00CC62FC" w:rsidRDefault="00D43BB0" w:rsidP="00D43BB0">
      <w:pPr>
        <w:autoSpaceDE w:val="0"/>
        <w:autoSpaceDN w:val="0"/>
        <w:adjustRightInd w:val="0"/>
        <w:ind w:left="567" w:right="567"/>
        <w:rPr>
          <w:rFonts w:cs="Times New Roman"/>
          <w:szCs w:val="24"/>
        </w:rPr>
      </w:pPr>
    </w:p>
    <w:p w14:paraId="0429046C" w14:textId="16853F2E" w:rsidR="007435DB" w:rsidRPr="00CC62FC" w:rsidRDefault="006A6DF1" w:rsidP="00D43BB0">
      <w:pPr>
        <w:autoSpaceDE w:val="0"/>
        <w:autoSpaceDN w:val="0"/>
        <w:adjustRightInd w:val="0"/>
        <w:ind w:left="567" w:right="567"/>
        <w:rPr>
          <w:rFonts w:cs="Times New Roman"/>
          <w:szCs w:val="24"/>
        </w:rPr>
      </w:pPr>
      <w:r w:rsidRPr="00CC62FC">
        <w:rPr>
          <w:rFonts w:cs="Times New Roman"/>
          <w:szCs w:val="24"/>
        </w:rPr>
        <w:t xml:space="preserve">[…] </w:t>
      </w:r>
      <w:r w:rsidR="00D43BB0" w:rsidRPr="00CC62FC">
        <w:rPr>
          <w:rFonts w:cs="Times New Roman"/>
          <w:szCs w:val="24"/>
        </w:rPr>
        <w:t>My Management Studies PG diploma featured very little on LGBT issues in general. To be honest, I tended to avoid modules where LGBT issues might have come up (e.g.</w:t>
      </w:r>
      <w:r w:rsidR="000F5CC1" w:rsidRPr="00CC62FC">
        <w:rPr>
          <w:rFonts w:cs="Times New Roman"/>
          <w:szCs w:val="24"/>
        </w:rPr>
        <w:t xml:space="preserve"> the HR module), because I didn’</w:t>
      </w:r>
      <w:r w:rsidR="00D43BB0" w:rsidRPr="00CC62FC">
        <w:rPr>
          <w:rFonts w:cs="Times New Roman"/>
          <w:szCs w:val="24"/>
        </w:rPr>
        <w:t>t expect they would be covered well a</w:t>
      </w:r>
      <w:r w:rsidR="000F5CC1" w:rsidRPr="00CC62FC">
        <w:rPr>
          <w:rFonts w:cs="Times New Roman"/>
          <w:szCs w:val="24"/>
        </w:rPr>
        <w:t>nd I didn’</w:t>
      </w:r>
      <w:r w:rsidR="00D43BB0" w:rsidRPr="00CC62FC">
        <w:rPr>
          <w:rFonts w:cs="Times New Roman"/>
          <w:szCs w:val="24"/>
        </w:rPr>
        <w:t>t want to have to argue with the lecturer.</w:t>
      </w:r>
    </w:p>
    <w:p w14:paraId="349B60E7" w14:textId="77777777" w:rsidR="007435DB" w:rsidRPr="00CC62FC" w:rsidRDefault="007435DB" w:rsidP="007435DB">
      <w:pPr>
        <w:ind w:firstLine="284"/>
        <w:rPr>
          <w:rFonts w:cs="Arial"/>
          <w:szCs w:val="24"/>
        </w:rPr>
      </w:pPr>
    </w:p>
    <w:p w14:paraId="0CCFDE34" w14:textId="2D1A4DDF" w:rsidR="00D43BB0" w:rsidRPr="00CC62FC" w:rsidRDefault="00D43BB0" w:rsidP="00D43BB0">
      <w:pPr>
        <w:rPr>
          <w:rFonts w:cs="Arial"/>
          <w:szCs w:val="24"/>
        </w:rPr>
      </w:pPr>
      <w:r w:rsidRPr="00CC62FC">
        <w:rPr>
          <w:rFonts w:cs="Arial"/>
          <w:szCs w:val="24"/>
        </w:rPr>
        <w:t>When asked how well his curriculum had covered non-binary identities and experiences, Dominic again referred to the problematic History module:</w:t>
      </w:r>
    </w:p>
    <w:p w14:paraId="1D8C23B2" w14:textId="77777777" w:rsidR="00D43BB0" w:rsidRPr="00CC62FC" w:rsidRDefault="00D43BB0" w:rsidP="007435DB">
      <w:pPr>
        <w:rPr>
          <w:rFonts w:cs="Arial"/>
          <w:szCs w:val="24"/>
        </w:rPr>
      </w:pPr>
    </w:p>
    <w:p w14:paraId="2CCE3AB6" w14:textId="13AC183B" w:rsidR="00D43BB0" w:rsidRPr="00CC62FC" w:rsidRDefault="00D43BB0" w:rsidP="00D43BB0">
      <w:pPr>
        <w:autoSpaceDE w:val="0"/>
        <w:autoSpaceDN w:val="0"/>
        <w:adjustRightInd w:val="0"/>
        <w:ind w:left="567" w:right="567"/>
        <w:rPr>
          <w:rFonts w:cs="Times New Roman"/>
          <w:szCs w:val="24"/>
        </w:rPr>
      </w:pPr>
      <w:r w:rsidRPr="00CC62FC">
        <w:rPr>
          <w:rFonts w:cs="Times New Roman"/>
          <w:szCs w:val="24"/>
        </w:rPr>
        <w:t xml:space="preserve">My undergraduate history course attempted to raise them […] but in fact reached fairly stereotypical and normative conclusions. There certainly wasn't any clear attempt to apply gender or queer theories to the stories, nor even to approach them from the perspective of the teller. I don’t think it had occurred </w:t>
      </w:r>
      <w:r w:rsidRPr="00CC62FC">
        <w:rPr>
          <w:rFonts w:cs="Times New Roman"/>
          <w:szCs w:val="24"/>
        </w:rPr>
        <w:lastRenderedPageBreak/>
        <w:t xml:space="preserve">to the lecturer that any of the students might have current </w:t>
      </w:r>
      <w:proofErr w:type="gramStart"/>
      <w:r w:rsidRPr="00CC62FC">
        <w:rPr>
          <w:rFonts w:cs="Times New Roman"/>
          <w:szCs w:val="24"/>
        </w:rPr>
        <w:t>trans</w:t>
      </w:r>
      <w:proofErr w:type="gramEnd"/>
      <w:r w:rsidRPr="00CC62FC">
        <w:rPr>
          <w:rFonts w:cs="Times New Roman"/>
          <w:szCs w:val="24"/>
        </w:rPr>
        <w:t xml:space="preserve"> or non-binary experiences.</w:t>
      </w:r>
    </w:p>
    <w:p w14:paraId="1C637393" w14:textId="77777777" w:rsidR="00D43BB0" w:rsidRPr="00CC62FC" w:rsidRDefault="00D43BB0" w:rsidP="00D43BB0">
      <w:pPr>
        <w:autoSpaceDE w:val="0"/>
        <w:autoSpaceDN w:val="0"/>
        <w:adjustRightInd w:val="0"/>
        <w:ind w:left="567" w:right="567"/>
        <w:rPr>
          <w:rFonts w:cs="Times New Roman"/>
          <w:szCs w:val="24"/>
        </w:rPr>
      </w:pPr>
    </w:p>
    <w:p w14:paraId="47E14433" w14:textId="0A4808D4" w:rsidR="007435DB" w:rsidRPr="00CC62FC" w:rsidRDefault="00D43BB0" w:rsidP="002F7090">
      <w:pPr>
        <w:autoSpaceDE w:val="0"/>
        <w:autoSpaceDN w:val="0"/>
        <w:adjustRightInd w:val="0"/>
        <w:ind w:left="567" w:right="567"/>
        <w:rPr>
          <w:rFonts w:cs="Times New Roman"/>
          <w:szCs w:val="24"/>
        </w:rPr>
      </w:pPr>
      <w:r w:rsidRPr="00CC62FC">
        <w:rPr>
          <w:rFonts w:cs="Times New Roman"/>
          <w:szCs w:val="24"/>
        </w:rPr>
        <w:t xml:space="preserve">Nothing of this was included in Management Studies. I </w:t>
      </w:r>
      <w:r w:rsidR="002F7090" w:rsidRPr="00CC62FC">
        <w:rPr>
          <w:rFonts w:cs="Times New Roman"/>
          <w:szCs w:val="24"/>
        </w:rPr>
        <w:t xml:space="preserve">am including it within the PhD. </w:t>
      </w:r>
    </w:p>
    <w:p w14:paraId="504D155E" w14:textId="77777777" w:rsidR="007435DB" w:rsidRPr="00CC62FC" w:rsidRDefault="007435DB" w:rsidP="007435DB">
      <w:pPr>
        <w:ind w:firstLine="284"/>
        <w:rPr>
          <w:szCs w:val="24"/>
        </w:rPr>
      </w:pPr>
    </w:p>
    <w:p w14:paraId="2C4FFC2B" w14:textId="065BC6B5" w:rsidR="00D43BB0" w:rsidRPr="00CC62FC" w:rsidRDefault="002F7090" w:rsidP="003736D4">
      <w:pPr>
        <w:rPr>
          <w:rFonts w:cs="Arial"/>
        </w:rPr>
      </w:pPr>
      <w:r w:rsidRPr="00CC62FC">
        <w:rPr>
          <w:rFonts w:cs="Arial"/>
        </w:rPr>
        <w:t>The problem of making ‘[b]</w:t>
      </w:r>
      <w:proofErr w:type="spellStart"/>
      <w:r w:rsidRPr="00CC62FC">
        <w:rPr>
          <w:rFonts w:cs="Arial"/>
        </w:rPr>
        <w:t>iological</w:t>
      </w:r>
      <w:proofErr w:type="spellEnd"/>
      <w:r w:rsidRPr="00CC62FC">
        <w:rPr>
          <w:rFonts w:cs="Arial"/>
        </w:rPr>
        <w:t xml:space="preserve"> sex […] the fountain of truth’</w:t>
      </w:r>
      <w:r w:rsidR="00EC1CFF" w:rsidRPr="00CC62FC">
        <w:rPr>
          <w:rFonts w:cs="Arial"/>
        </w:rPr>
        <w:t xml:space="preserve"> (Boyd 1999: 77)</w:t>
      </w:r>
      <w:r w:rsidRPr="00CC62FC">
        <w:rPr>
          <w:rFonts w:cs="Arial"/>
        </w:rPr>
        <w:t xml:space="preserve"> about the identities of gender-non-conforming subjects in the recuperative project of lesbian/women’s history (and automatically labelling people like de </w:t>
      </w:r>
      <w:proofErr w:type="spellStart"/>
      <w:r w:rsidRPr="00CC62FC">
        <w:rPr>
          <w:rFonts w:cs="Arial"/>
        </w:rPr>
        <w:t>Erauso</w:t>
      </w:r>
      <w:proofErr w:type="spellEnd"/>
      <w:r w:rsidRPr="00CC62FC">
        <w:rPr>
          <w:rFonts w:cs="Arial"/>
        </w:rPr>
        <w:t xml:space="preserve"> as lesbians or gender-non-conforming women) is well-known to historians of sexuality and gender</w:t>
      </w:r>
      <w:r w:rsidR="00EC1CFF" w:rsidRPr="00CC62FC">
        <w:rPr>
          <w:rFonts w:cs="Arial"/>
        </w:rPr>
        <w:t xml:space="preserve"> (Boyd 1999; Reis 2004: 170–1</w:t>
      </w:r>
      <w:r w:rsidR="003736D4">
        <w:rPr>
          <w:rFonts w:cs="Arial"/>
        </w:rPr>
        <w:t xml:space="preserve">; </w:t>
      </w:r>
      <w:proofErr w:type="spellStart"/>
      <w:r w:rsidR="003736D4">
        <w:rPr>
          <w:rFonts w:cs="Arial"/>
        </w:rPr>
        <w:t>Halberstam</w:t>
      </w:r>
      <w:proofErr w:type="spellEnd"/>
      <w:r w:rsidR="00492DA0">
        <w:rPr>
          <w:rFonts w:cs="Arial"/>
        </w:rPr>
        <w:t xml:space="preserve"> 2005</w:t>
      </w:r>
      <w:r w:rsidR="00EC1CFF" w:rsidRPr="00CC62FC">
        <w:rPr>
          <w:rFonts w:cs="Arial"/>
        </w:rPr>
        <w:t>),</w:t>
      </w:r>
      <w:r w:rsidRPr="00CC62FC">
        <w:rPr>
          <w:rFonts w:cs="Arial"/>
        </w:rPr>
        <w:t xml:space="preserve"> who were discussing it well before 2006. An up-to-date gender history curriculum would have benefited from exploring this question, not shutting it down – as long as it was handled in a sensitive way.</w:t>
      </w:r>
      <w:r w:rsidR="003736D4">
        <w:rPr>
          <w:rStyle w:val="FootnoteReference"/>
          <w:rFonts w:cs="Arial"/>
        </w:rPr>
        <w:footnoteReference w:id="10"/>
      </w:r>
      <w:r w:rsidRPr="00CC62FC">
        <w:rPr>
          <w:rFonts w:cs="Arial"/>
        </w:rPr>
        <w:t xml:space="preserve"> </w:t>
      </w:r>
      <w:r w:rsidR="00D43BB0" w:rsidRPr="00CC62FC">
        <w:rPr>
          <w:rFonts w:cs="Arial"/>
        </w:rPr>
        <w:t xml:space="preserve">Dominic’s suggestions for what would have made his </w:t>
      </w:r>
      <w:r w:rsidR="000F5CC1" w:rsidRPr="00CC62FC">
        <w:rPr>
          <w:rFonts w:cs="Arial"/>
        </w:rPr>
        <w:t xml:space="preserve">History </w:t>
      </w:r>
      <w:r w:rsidR="00D43BB0" w:rsidRPr="00CC62FC">
        <w:rPr>
          <w:rFonts w:cs="Arial"/>
        </w:rPr>
        <w:t xml:space="preserve">curriculum more inclusive pointed to the risks of </w:t>
      </w:r>
      <w:proofErr w:type="spellStart"/>
      <w:r w:rsidR="00D43BB0" w:rsidRPr="00CC62FC">
        <w:rPr>
          <w:rFonts w:cs="Arial"/>
        </w:rPr>
        <w:t>cisnormatively</w:t>
      </w:r>
      <w:proofErr w:type="spellEnd"/>
      <w:r w:rsidR="00D43BB0" w:rsidRPr="00CC62FC">
        <w:rPr>
          <w:rFonts w:cs="Arial"/>
        </w:rPr>
        <w:t xml:space="preserve"> covering these topics as intellectual ‘curiosities’ without expecting any trans or non-binary students to be in the room:</w:t>
      </w:r>
    </w:p>
    <w:p w14:paraId="25F40B64" w14:textId="77777777" w:rsidR="00D43BB0" w:rsidRPr="00CC62FC" w:rsidRDefault="00D43BB0" w:rsidP="00D43BB0">
      <w:pPr>
        <w:ind w:firstLine="284"/>
        <w:rPr>
          <w:rFonts w:cs="Arial"/>
        </w:rPr>
      </w:pPr>
    </w:p>
    <w:p w14:paraId="3BDA9E12" w14:textId="496DCC7C" w:rsidR="00D43BB0" w:rsidRPr="00CC62FC" w:rsidRDefault="00D43BB0" w:rsidP="000F5CC1">
      <w:pPr>
        <w:ind w:left="567" w:right="567"/>
        <w:rPr>
          <w:szCs w:val="24"/>
        </w:rPr>
      </w:pPr>
      <w:r w:rsidRPr="00CC62FC">
        <w:rPr>
          <w:szCs w:val="24"/>
        </w:rPr>
        <w:t xml:space="preserve">I think if lecturers are going to make an effort to raise gender non-normative stories from the past, they need to register that these may be issues which affect current students, and to have a look at some of the up-to-date gender and queer and </w:t>
      </w:r>
      <w:proofErr w:type="gramStart"/>
      <w:r w:rsidRPr="00CC62FC">
        <w:rPr>
          <w:szCs w:val="24"/>
        </w:rPr>
        <w:t>trans</w:t>
      </w:r>
      <w:proofErr w:type="gramEnd"/>
      <w:r w:rsidRPr="00CC62FC">
        <w:rPr>
          <w:szCs w:val="24"/>
        </w:rPr>
        <w:t xml:space="preserve"> theories, rather than treating them as historical curiosities. </w:t>
      </w:r>
    </w:p>
    <w:p w14:paraId="729A61DC" w14:textId="77777777" w:rsidR="00D43BB0" w:rsidRPr="00CC62FC" w:rsidRDefault="00D43BB0" w:rsidP="00D43BB0">
      <w:pPr>
        <w:ind w:firstLine="284"/>
        <w:rPr>
          <w:szCs w:val="24"/>
        </w:rPr>
      </w:pPr>
    </w:p>
    <w:p w14:paraId="6AADD23A" w14:textId="64F68383" w:rsidR="000F5CC1" w:rsidRPr="00CC62FC" w:rsidRDefault="000F5CC1" w:rsidP="006A6DF1">
      <w:pPr>
        <w:rPr>
          <w:rFonts w:cs="Arial"/>
        </w:rPr>
      </w:pPr>
      <w:r w:rsidRPr="00CC62FC">
        <w:rPr>
          <w:rFonts w:cs="Arial"/>
        </w:rPr>
        <w:t xml:space="preserve">The tutor of Dominic’s module </w:t>
      </w:r>
      <w:r w:rsidR="00D43BB0" w:rsidRPr="00CC62FC">
        <w:rPr>
          <w:rFonts w:cs="Arial"/>
        </w:rPr>
        <w:t xml:space="preserve">might have thought </w:t>
      </w:r>
      <w:r w:rsidR="006A6DF1" w:rsidRPr="00CC62FC">
        <w:rPr>
          <w:rFonts w:cs="Arial"/>
        </w:rPr>
        <w:t xml:space="preserve">she was </w:t>
      </w:r>
      <w:r w:rsidR="00D43BB0" w:rsidRPr="00CC62FC">
        <w:rPr>
          <w:rFonts w:cs="Arial"/>
        </w:rPr>
        <w:t>approaching gender history in an innovative, radical</w:t>
      </w:r>
      <w:r w:rsidRPr="00CC62FC">
        <w:rPr>
          <w:rFonts w:cs="Arial"/>
        </w:rPr>
        <w:t>, even emancipatory</w:t>
      </w:r>
      <w:r w:rsidR="00D43BB0" w:rsidRPr="00CC62FC">
        <w:rPr>
          <w:rFonts w:cs="Arial"/>
        </w:rPr>
        <w:t xml:space="preserve"> way by incorporating the narrative of a gender non-conforming person </w:t>
      </w:r>
      <w:r w:rsidRPr="00CC62FC">
        <w:rPr>
          <w:rFonts w:cs="Arial"/>
        </w:rPr>
        <w:t xml:space="preserve">(in </w:t>
      </w:r>
      <w:r w:rsidR="006A6DF1" w:rsidRPr="00CC62FC">
        <w:rPr>
          <w:rFonts w:cs="Arial"/>
        </w:rPr>
        <w:t xml:space="preserve">her </w:t>
      </w:r>
      <w:r w:rsidRPr="00CC62FC">
        <w:rPr>
          <w:rFonts w:cs="Arial"/>
        </w:rPr>
        <w:t xml:space="preserve">eyes, a woman breaking gender norms) </w:t>
      </w:r>
      <w:r w:rsidR="00D43BB0" w:rsidRPr="00CC62FC">
        <w:rPr>
          <w:rFonts w:cs="Arial"/>
        </w:rPr>
        <w:t xml:space="preserve">into the curriculum. </w:t>
      </w:r>
      <w:r w:rsidR="006A6DF1" w:rsidRPr="00CC62FC">
        <w:rPr>
          <w:rFonts w:cs="Arial"/>
        </w:rPr>
        <w:t>Her</w:t>
      </w:r>
      <w:r w:rsidRPr="00CC62FC">
        <w:rPr>
          <w:rFonts w:cs="Arial"/>
        </w:rPr>
        <w:t xml:space="preserve"> shutting down of Dominic’s challenge, however, had the opposite of an emancipatory </w:t>
      </w:r>
      <w:r w:rsidRPr="00CC62FC">
        <w:rPr>
          <w:rFonts w:cs="Times New Roman"/>
          <w:szCs w:val="24"/>
        </w:rPr>
        <w:t>effect. Not only was he left uncomfortable with the History class, but he avoided LGBT topics in some of his later studies because of his expectations that he would have to ‘argue with the lecturer’ and that Management ‘would only ever have treated it as a potential ‘diversity’ issue to manage – and frankly I think I'd have cringed at being the only trans student in the room while p</w:t>
      </w:r>
      <w:r w:rsidR="002F7090" w:rsidRPr="00CC62FC">
        <w:rPr>
          <w:rFonts w:cs="Times New Roman"/>
          <w:szCs w:val="24"/>
        </w:rPr>
        <w:t>eople who didn’</w:t>
      </w:r>
      <w:r w:rsidRPr="00CC62FC">
        <w:rPr>
          <w:rFonts w:cs="Times New Roman"/>
          <w:szCs w:val="24"/>
        </w:rPr>
        <w:t xml:space="preserve">t know that much about it discussed it, even if it came from a </w:t>
      </w:r>
      <w:proofErr w:type="spellStart"/>
      <w:r w:rsidRPr="00CC62FC">
        <w:rPr>
          <w:rFonts w:cs="Times New Roman"/>
          <w:szCs w:val="24"/>
        </w:rPr>
        <w:t>wellmeaning</w:t>
      </w:r>
      <w:proofErr w:type="spellEnd"/>
      <w:r w:rsidRPr="00CC62FC">
        <w:rPr>
          <w:rFonts w:cs="Times New Roman"/>
          <w:szCs w:val="24"/>
        </w:rPr>
        <w:t xml:space="preserve"> place’. </w:t>
      </w:r>
      <w:r w:rsidR="002F7090" w:rsidRPr="00CC62FC">
        <w:rPr>
          <w:rFonts w:cs="Times New Roman"/>
          <w:szCs w:val="24"/>
        </w:rPr>
        <w:t xml:space="preserve">This would not have been caused solely by the de </w:t>
      </w:r>
      <w:proofErr w:type="spellStart"/>
      <w:r w:rsidR="002F7090" w:rsidRPr="00CC62FC">
        <w:rPr>
          <w:rFonts w:cs="Times New Roman"/>
          <w:szCs w:val="24"/>
        </w:rPr>
        <w:t>Erauso</w:t>
      </w:r>
      <w:proofErr w:type="spellEnd"/>
      <w:r w:rsidR="002F7090" w:rsidRPr="00CC62FC">
        <w:rPr>
          <w:rFonts w:cs="Times New Roman"/>
          <w:szCs w:val="24"/>
        </w:rPr>
        <w:t xml:space="preserve"> incident but it had been important enough for him to mention in four separate responses during the survey. </w:t>
      </w:r>
      <w:r w:rsidRPr="00CC62FC">
        <w:rPr>
          <w:rFonts w:cs="Times New Roman"/>
          <w:szCs w:val="24"/>
        </w:rPr>
        <w:t>Doctoral</w:t>
      </w:r>
      <w:r w:rsidRPr="00CC62FC">
        <w:rPr>
          <w:rFonts w:cs="Arial"/>
        </w:rPr>
        <w:t xml:space="preserve"> research, with one-to-one teaching and learning through supervision, on the other hand represented an environment where Dominic could apply his independent initiative to the full. </w:t>
      </w:r>
    </w:p>
    <w:p w14:paraId="4DEDB1B3" w14:textId="77777777" w:rsidR="00C55588" w:rsidRDefault="00C55588" w:rsidP="00C55588">
      <w:pPr>
        <w:rPr>
          <w:rFonts w:cs="Arial"/>
        </w:rPr>
      </w:pPr>
    </w:p>
    <w:p w14:paraId="5243EEA5" w14:textId="4CE85CA5" w:rsidR="006E7C31" w:rsidRPr="00CC62FC" w:rsidRDefault="006A6DF1" w:rsidP="00C55588">
      <w:pPr>
        <w:rPr>
          <w:szCs w:val="24"/>
        </w:rPr>
      </w:pPr>
      <w:r w:rsidRPr="00CC62FC">
        <w:rPr>
          <w:rFonts w:cs="Arial"/>
        </w:rPr>
        <w:t xml:space="preserve">Other trans and non-binary students reported more mixed experiences but concurred on the </w:t>
      </w:r>
      <w:r w:rsidR="006E7C31" w:rsidRPr="00CC62FC">
        <w:rPr>
          <w:rFonts w:cs="Arial"/>
        </w:rPr>
        <w:t>effects of having to out themselves in order to make a point in class</w:t>
      </w:r>
      <w:r w:rsidR="00702775" w:rsidRPr="00CC62FC">
        <w:rPr>
          <w:rFonts w:cs="Arial"/>
        </w:rPr>
        <w:t xml:space="preserve"> (especially since they might not have been able to update student records to show their correct name and gender)</w:t>
      </w:r>
      <w:r w:rsidR="006E7C31" w:rsidRPr="00CC62FC">
        <w:rPr>
          <w:rFonts w:cs="Arial"/>
        </w:rPr>
        <w:t xml:space="preserve">, and the uncertainty about whether tutors and students would accept their gender. </w:t>
      </w:r>
      <w:proofErr w:type="spellStart"/>
      <w:r w:rsidR="00702775" w:rsidRPr="00CC62FC">
        <w:rPr>
          <w:rFonts w:cs="Arial"/>
        </w:rPr>
        <w:t>Sahra</w:t>
      </w:r>
      <w:proofErr w:type="spellEnd"/>
      <w:r w:rsidR="00702775" w:rsidRPr="00CC62FC">
        <w:rPr>
          <w:rFonts w:cs="Arial"/>
        </w:rPr>
        <w:t xml:space="preserve"> described her classroom environment as ‘[t]</w:t>
      </w:r>
      <w:proofErr w:type="spellStart"/>
      <w:r w:rsidR="00702775" w:rsidRPr="00CC62FC">
        <w:rPr>
          <w:rFonts w:cs="Arial"/>
        </w:rPr>
        <w:t>ypical</w:t>
      </w:r>
      <w:proofErr w:type="spellEnd"/>
      <w:r w:rsidR="00702775" w:rsidRPr="00CC62FC">
        <w:rPr>
          <w:rFonts w:cs="Arial"/>
        </w:rPr>
        <w:t xml:space="preserve"> </w:t>
      </w:r>
      <w:proofErr w:type="spellStart"/>
      <w:r w:rsidR="00702775" w:rsidRPr="00CC62FC">
        <w:rPr>
          <w:rFonts w:cs="Arial"/>
        </w:rPr>
        <w:t>cis</w:t>
      </w:r>
      <w:proofErr w:type="spellEnd"/>
      <w:r w:rsidR="00702775" w:rsidRPr="00CC62FC">
        <w:rPr>
          <w:rFonts w:cs="Arial"/>
        </w:rPr>
        <w:t xml:space="preserve">-ignorance’. </w:t>
      </w:r>
      <w:r w:rsidR="006E7C31" w:rsidRPr="00CC62FC">
        <w:rPr>
          <w:rFonts w:cs="Arial"/>
        </w:rPr>
        <w:t>Connor, ‘</w:t>
      </w:r>
      <w:r w:rsidR="006E7C31" w:rsidRPr="00CC62FC">
        <w:rPr>
          <w:szCs w:val="24"/>
        </w:rPr>
        <w:t xml:space="preserve">as a fairly androgynous AFAB [assigned female at birth] person who uses he/him pronouns’, often had </w:t>
      </w:r>
      <w:r w:rsidR="006E7C31" w:rsidRPr="00CC62FC">
        <w:rPr>
          <w:szCs w:val="24"/>
        </w:rPr>
        <w:lastRenderedPageBreak/>
        <w:t>to correct staff who addressed him as ‘she’. While ‘[m]</w:t>
      </w:r>
      <w:proofErr w:type="spellStart"/>
      <w:r w:rsidR="006E7C31" w:rsidRPr="00CC62FC">
        <w:rPr>
          <w:szCs w:val="24"/>
        </w:rPr>
        <w:t>ultiple</w:t>
      </w:r>
      <w:proofErr w:type="spellEnd"/>
      <w:r w:rsidR="006E7C31" w:rsidRPr="00CC62FC">
        <w:rPr>
          <w:szCs w:val="24"/>
        </w:rPr>
        <w:t xml:space="preserve"> tutors have […] been very polite and accommodating when I corrected them’:</w:t>
      </w:r>
    </w:p>
    <w:p w14:paraId="5AEB981F" w14:textId="77777777" w:rsidR="006E7C31" w:rsidRPr="00CC62FC" w:rsidRDefault="006E7C31" w:rsidP="006E7C31">
      <w:pPr>
        <w:ind w:firstLine="284"/>
        <w:rPr>
          <w:szCs w:val="24"/>
        </w:rPr>
      </w:pPr>
    </w:p>
    <w:p w14:paraId="1B37C258" w14:textId="77777777" w:rsidR="006E7C31" w:rsidRPr="00CC62FC" w:rsidRDefault="006E7C31" w:rsidP="006E7C31">
      <w:pPr>
        <w:ind w:left="567" w:right="567"/>
        <w:rPr>
          <w:szCs w:val="24"/>
        </w:rPr>
      </w:pPr>
      <w:r w:rsidRPr="00CC62FC">
        <w:rPr>
          <w:szCs w:val="24"/>
        </w:rPr>
        <w:t xml:space="preserve">One tutor actively refused to use he/him, and made a point to use she/her and to refer to me as a girl. </w:t>
      </w:r>
      <w:r w:rsidRPr="00CC62FC">
        <w:rPr>
          <w:szCs w:val="24"/>
        </w:rPr>
        <w:br/>
      </w:r>
    </w:p>
    <w:p w14:paraId="2A7895A6" w14:textId="77777777" w:rsidR="006E7C31" w:rsidRPr="00CC62FC" w:rsidRDefault="006E7C31" w:rsidP="006E7C31">
      <w:pPr>
        <w:ind w:left="567" w:right="567"/>
        <w:rPr>
          <w:szCs w:val="24"/>
        </w:rPr>
      </w:pPr>
      <w:r w:rsidRPr="00CC62FC">
        <w:rPr>
          <w:szCs w:val="24"/>
        </w:rPr>
        <w:t xml:space="preserve">Additionally, several tutors, whether they assumed I was a girl originally or not, when I asserted I was a boy, assumed I was a </w:t>
      </w:r>
      <w:proofErr w:type="spellStart"/>
      <w:r w:rsidRPr="00CC62FC">
        <w:rPr>
          <w:szCs w:val="24"/>
        </w:rPr>
        <w:t>cis</w:t>
      </w:r>
      <w:proofErr w:type="spellEnd"/>
      <w:r w:rsidRPr="00CC62FC">
        <w:rPr>
          <w:szCs w:val="24"/>
        </w:rPr>
        <w:t xml:space="preserve"> boy. Upon finding out I was </w:t>
      </w:r>
      <w:proofErr w:type="gramStart"/>
      <w:r w:rsidRPr="00CC62FC">
        <w:rPr>
          <w:szCs w:val="24"/>
        </w:rPr>
        <w:t>trans</w:t>
      </w:r>
      <w:proofErr w:type="gramEnd"/>
      <w:r w:rsidRPr="00CC62FC">
        <w:rPr>
          <w:szCs w:val="24"/>
        </w:rPr>
        <w:t xml:space="preserve">, they are often ask uncomfortable, invasive questions or offered unsolicited opinions on trans people (e.g.: ‘it’s just a fad for confused teens’). </w:t>
      </w:r>
    </w:p>
    <w:p w14:paraId="48F9B257" w14:textId="6F11DAB1" w:rsidR="006E7C31" w:rsidRPr="00CC62FC" w:rsidRDefault="006E7C31" w:rsidP="006E7C31">
      <w:pPr>
        <w:ind w:left="567" w:right="567"/>
        <w:rPr>
          <w:rFonts w:cs="Arial"/>
        </w:rPr>
      </w:pPr>
      <w:r w:rsidRPr="00CC62FC">
        <w:rPr>
          <w:szCs w:val="24"/>
        </w:rPr>
        <w:br/>
        <w:t>While I have also had some positive experiences, primarily from younger tutor and lecturers and from other students, many staff members are actively hostile to transgender people.</w:t>
      </w:r>
    </w:p>
    <w:p w14:paraId="06090296" w14:textId="77777777" w:rsidR="00D43BB0" w:rsidRPr="00CC62FC" w:rsidRDefault="00D43BB0" w:rsidP="007435DB">
      <w:pPr>
        <w:ind w:firstLine="284"/>
        <w:rPr>
          <w:rFonts w:cs="Arial"/>
        </w:rPr>
      </w:pPr>
    </w:p>
    <w:p w14:paraId="46399F4C" w14:textId="77777777" w:rsidR="006E7C31" w:rsidRPr="00CC62FC" w:rsidRDefault="006E7C31" w:rsidP="006E7C31">
      <w:pPr>
        <w:rPr>
          <w:szCs w:val="24"/>
        </w:rPr>
      </w:pPr>
      <w:r w:rsidRPr="00CC62FC">
        <w:rPr>
          <w:szCs w:val="24"/>
        </w:rPr>
        <w:t xml:space="preserve">Zahra, who began a Languages degree in 2014, had also had to deal with classmates who were confused about their gender: </w:t>
      </w:r>
    </w:p>
    <w:p w14:paraId="58D4E1E2" w14:textId="77777777" w:rsidR="006E7C31" w:rsidRPr="00CC62FC" w:rsidRDefault="006E7C31" w:rsidP="006E7C31">
      <w:pPr>
        <w:rPr>
          <w:szCs w:val="24"/>
        </w:rPr>
      </w:pPr>
    </w:p>
    <w:p w14:paraId="7550F037" w14:textId="1AADAD96" w:rsidR="006E7C31" w:rsidRPr="00CC62FC" w:rsidRDefault="006E7C31" w:rsidP="006E7C31">
      <w:pPr>
        <w:ind w:left="567" w:right="567"/>
        <w:rPr>
          <w:szCs w:val="24"/>
        </w:rPr>
      </w:pPr>
      <w:r w:rsidRPr="00CC62FC">
        <w:rPr>
          <w:szCs w:val="24"/>
        </w:rPr>
        <w:t xml:space="preserve">I identify as </w:t>
      </w:r>
      <w:proofErr w:type="spellStart"/>
      <w:r w:rsidRPr="00CC62FC">
        <w:rPr>
          <w:szCs w:val="24"/>
        </w:rPr>
        <w:t>non binary</w:t>
      </w:r>
      <w:proofErr w:type="spellEnd"/>
      <w:r w:rsidRPr="00CC62FC">
        <w:rPr>
          <w:szCs w:val="24"/>
        </w:rPr>
        <w:t xml:space="preserve">/gender fluid and go from presenting as ‘femme’ to masculine frequently. It has led to my classmates asking me if I’m ‘gay or something’ loads of times. I'm most comfortable presenting as both and neither bothers me but people don't like not knowing what gender someone is. </w:t>
      </w:r>
    </w:p>
    <w:p w14:paraId="7BF72674" w14:textId="77777777" w:rsidR="006E7C31" w:rsidRPr="00CC62FC" w:rsidRDefault="006E7C31" w:rsidP="006E7C31">
      <w:pPr>
        <w:ind w:left="567" w:right="567"/>
        <w:rPr>
          <w:szCs w:val="24"/>
        </w:rPr>
      </w:pPr>
    </w:p>
    <w:p w14:paraId="3D1C6E1C" w14:textId="7F908B3B" w:rsidR="006E7C31" w:rsidRPr="00CC62FC" w:rsidRDefault="006E7C31" w:rsidP="006E7C31">
      <w:pPr>
        <w:ind w:left="567" w:right="567"/>
        <w:rPr>
          <w:szCs w:val="24"/>
        </w:rPr>
      </w:pPr>
      <w:r w:rsidRPr="00CC62FC">
        <w:rPr>
          <w:szCs w:val="24"/>
        </w:rPr>
        <w:t xml:space="preserve">[…] I was in a humanities class for beginners last year where the lecturer and some of the classmates talked about how they found it ridiculous that there were more than two gender options. One classmate told me that there was no such thing as </w:t>
      </w:r>
      <w:proofErr w:type="spellStart"/>
      <w:r w:rsidRPr="00CC62FC">
        <w:rPr>
          <w:szCs w:val="24"/>
        </w:rPr>
        <w:t>agenderness</w:t>
      </w:r>
      <w:proofErr w:type="spellEnd"/>
      <w:r w:rsidRPr="00CC62FC">
        <w:rPr>
          <w:szCs w:val="24"/>
        </w:rPr>
        <w:t xml:space="preserve"> even though I tried to explain to him that there are people that are </w:t>
      </w:r>
      <w:proofErr w:type="spellStart"/>
      <w:r w:rsidRPr="00CC62FC">
        <w:rPr>
          <w:szCs w:val="24"/>
        </w:rPr>
        <w:t>non binary</w:t>
      </w:r>
      <w:proofErr w:type="spellEnd"/>
      <w:r w:rsidRPr="00CC62FC">
        <w:rPr>
          <w:szCs w:val="24"/>
        </w:rPr>
        <w:t xml:space="preserve"> that do exist and it doesn't make them defiant of some sort. It fell to deaf ears.</w:t>
      </w:r>
    </w:p>
    <w:p w14:paraId="71DF4BDA" w14:textId="77777777" w:rsidR="006E7C31" w:rsidRPr="00CC62FC" w:rsidRDefault="006E7C31" w:rsidP="007435DB">
      <w:pPr>
        <w:ind w:firstLine="284"/>
        <w:rPr>
          <w:rFonts w:cs="Arial"/>
        </w:rPr>
      </w:pPr>
    </w:p>
    <w:p w14:paraId="5E54B3B4" w14:textId="134D49E9" w:rsidR="006E7C31" w:rsidRPr="00CC62FC" w:rsidRDefault="006E7C31" w:rsidP="00702775">
      <w:pPr>
        <w:rPr>
          <w:rFonts w:cs="Arial"/>
        </w:rPr>
      </w:pPr>
      <w:r w:rsidRPr="00CC62FC">
        <w:rPr>
          <w:rFonts w:cs="Arial"/>
        </w:rPr>
        <w:t>While Zahra did not describe this as causing them particular distress, it was a level of non-recognition that cisgender students would not have to negotiate.</w:t>
      </w:r>
    </w:p>
    <w:p w14:paraId="32C708B5" w14:textId="77777777" w:rsidR="00C55588" w:rsidRDefault="00C55588" w:rsidP="00C55588">
      <w:pPr>
        <w:rPr>
          <w:rFonts w:cs="Arial"/>
        </w:rPr>
      </w:pPr>
    </w:p>
    <w:p w14:paraId="4C7F36B7" w14:textId="67C72016" w:rsidR="00702775" w:rsidRPr="00CC62FC" w:rsidRDefault="006E7C31" w:rsidP="00910FBD">
      <w:pPr>
        <w:rPr>
          <w:szCs w:val="24"/>
        </w:rPr>
      </w:pPr>
      <w:r w:rsidRPr="00CC62FC">
        <w:rPr>
          <w:rFonts w:cs="Arial"/>
        </w:rPr>
        <w:t xml:space="preserve">When the curriculum lacked </w:t>
      </w:r>
      <w:proofErr w:type="gramStart"/>
      <w:r w:rsidRPr="00CC62FC">
        <w:rPr>
          <w:rFonts w:cs="Arial"/>
        </w:rPr>
        <w:t>trans</w:t>
      </w:r>
      <w:proofErr w:type="gramEnd"/>
      <w:r w:rsidRPr="00CC62FC">
        <w:rPr>
          <w:rFonts w:cs="Arial"/>
        </w:rPr>
        <w:t xml:space="preserve"> content, there might from one point of view be less likelihood of classroom </w:t>
      </w:r>
      <w:proofErr w:type="spellStart"/>
      <w:r w:rsidRPr="00CC62FC">
        <w:rPr>
          <w:rFonts w:cs="Arial"/>
        </w:rPr>
        <w:t>microaggressions</w:t>
      </w:r>
      <w:proofErr w:type="spellEnd"/>
      <w:r w:rsidRPr="00CC62FC">
        <w:rPr>
          <w:rFonts w:cs="Arial"/>
        </w:rPr>
        <w:t xml:space="preserve"> because trans topics would not even be being discussed. </w:t>
      </w:r>
      <w:r w:rsidR="00702775" w:rsidRPr="00CC62FC">
        <w:rPr>
          <w:rFonts w:cs="Arial"/>
        </w:rPr>
        <w:t xml:space="preserve">The lack of curriculum content would itself, however, constitute an institutional micro (verging on macro) aggression – signalling an environment where </w:t>
      </w:r>
      <w:proofErr w:type="gramStart"/>
      <w:r w:rsidR="00702775" w:rsidRPr="00CC62FC">
        <w:rPr>
          <w:rFonts w:cs="Arial"/>
        </w:rPr>
        <w:t>trans</w:t>
      </w:r>
      <w:proofErr w:type="gramEnd"/>
      <w:r w:rsidR="00702775" w:rsidRPr="00CC62FC">
        <w:rPr>
          <w:rFonts w:cs="Arial"/>
        </w:rPr>
        <w:t xml:space="preserve"> students’ experiences are not validated and </w:t>
      </w:r>
      <w:proofErr w:type="spellStart"/>
      <w:r w:rsidR="00702775" w:rsidRPr="00CC62FC">
        <w:rPr>
          <w:rFonts w:cs="Arial"/>
        </w:rPr>
        <w:t>cis</w:t>
      </w:r>
      <w:proofErr w:type="spellEnd"/>
      <w:r w:rsidR="00702775" w:rsidRPr="00CC62FC">
        <w:rPr>
          <w:rFonts w:cs="Arial"/>
        </w:rPr>
        <w:t xml:space="preserve"> students do not receive the education they may need to transform their own understandings of gender identity. </w:t>
      </w:r>
      <w:proofErr w:type="spellStart"/>
      <w:r w:rsidR="00702775" w:rsidRPr="00CC62FC">
        <w:rPr>
          <w:rFonts w:cs="Arial"/>
        </w:rPr>
        <w:t>E</w:t>
      </w:r>
      <w:proofErr w:type="spellEnd"/>
      <w:r w:rsidR="00702775" w:rsidRPr="00CC62FC">
        <w:rPr>
          <w:rFonts w:cs="Arial"/>
        </w:rPr>
        <w:t xml:space="preserve"> was among the respondents for whom ‘</w:t>
      </w:r>
      <w:r w:rsidR="00702775" w:rsidRPr="00CC62FC">
        <w:rPr>
          <w:rFonts w:cs="Arial"/>
          <w:szCs w:val="24"/>
        </w:rPr>
        <w:t>[t]</w:t>
      </w:r>
      <w:proofErr w:type="spellStart"/>
      <w:r w:rsidR="00702775" w:rsidRPr="00CC62FC">
        <w:rPr>
          <w:szCs w:val="24"/>
        </w:rPr>
        <w:t>rans</w:t>
      </w:r>
      <w:proofErr w:type="spellEnd"/>
      <w:r w:rsidR="00702775" w:rsidRPr="00CC62FC">
        <w:rPr>
          <w:szCs w:val="24"/>
        </w:rPr>
        <w:t xml:space="preserve"> issues and experiences [were] seldom discussed in classroom’. She attributed this partly to ‘a tradition of old white male teachers, many of whom went to my university at 18 and stayed there, who think trans issues are “nonsense”’, but also to: </w:t>
      </w:r>
    </w:p>
    <w:p w14:paraId="36797F80" w14:textId="77777777" w:rsidR="00702775" w:rsidRPr="00CC62FC" w:rsidRDefault="00702775" w:rsidP="00702775">
      <w:pPr>
        <w:ind w:firstLine="284"/>
        <w:rPr>
          <w:szCs w:val="24"/>
        </w:rPr>
      </w:pPr>
    </w:p>
    <w:p w14:paraId="5F4561E3" w14:textId="66392603" w:rsidR="00702775" w:rsidRPr="00CC62FC" w:rsidRDefault="00702775" w:rsidP="00702775">
      <w:pPr>
        <w:ind w:left="567" w:right="567"/>
        <w:rPr>
          <w:szCs w:val="24"/>
        </w:rPr>
      </w:pPr>
      <w:proofErr w:type="gramStart"/>
      <w:r w:rsidRPr="00CC62FC">
        <w:rPr>
          <w:szCs w:val="24"/>
        </w:rPr>
        <w:t>in</w:t>
      </w:r>
      <w:proofErr w:type="gramEnd"/>
      <w:r w:rsidRPr="00CC62FC">
        <w:rPr>
          <w:szCs w:val="24"/>
        </w:rPr>
        <w:t xml:space="preserve"> general – a lack of willingness to discuss trans issues. If someone </w:t>
      </w:r>
      <w:proofErr w:type="gramStart"/>
      <w:r w:rsidRPr="00CC62FC">
        <w:rPr>
          <w:szCs w:val="24"/>
        </w:rPr>
        <w:t>trans</w:t>
      </w:r>
      <w:proofErr w:type="gramEnd"/>
      <w:r w:rsidRPr="00CC62FC">
        <w:rPr>
          <w:szCs w:val="24"/>
        </w:rPr>
        <w:t xml:space="preserve"> had been in the classroom and wanted to discuss trans/</w:t>
      </w:r>
      <w:proofErr w:type="spellStart"/>
      <w:r w:rsidRPr="00CC62FC">
        <w:rPr>
          <w:szCs w:val="24"/>
        </w:rPr>
        <w:t>nonbinary</w:t>
      </w:r>
      <w:proofErr w:type="spellEnd"/>
      <w:r w:rsidRPr="00CC62FC">
        <w:rPr>
          <w:szCs w:val="24"/>
        </w:rPr>
        <w:t xml:space="preserve"> issues, they would have had to bring it up as a new subject, which they might (justifiably) have found intimidating.</w:t>
      </w:r>
    </w:p>
    <w:p w14:paraId="568DC0F8" w14:textId="77777777" w:rsidR="00702775" w:rsidRPr="00CC62FC" w:rsidRDefault="00702775" w:rsidP="00702775">
      <w:pPr>
        <w:ind w:firstLine="284"/>
        <w:rPr>
          <w:szCs w:val="24"/>
        </w:rPr>
      </w:pPr>
    </w:p>
    <w:p w14:paraId="1BBB9F28" w14:textId="78A4A61F" w:rsidR="00702775" w:rsidRPr="00CC62FC" w:rsidRDefault="00702775" w:rsidP="00702775">
      <w:pPr>
        <w:rPr>
          <w:szCs w:val="24"/>
        </w:rPr>
      </w:pPr>
      <w:r w:rsidRPr="00CC62FC">
        <w:rPr>
          <w:szCs w:val="24"/>
        </w:rPr>
        <w:t xml:space="preserve">Designing more inclusive curricula would have helped to overcome this situation, which burdened students with needing to interject a new topic of knowledge into a course of </w:t>
      </w:r>
      <w:r w:rsidRPr="00CC62FC">
        <w:rPr>
          <w:szCs w:val="24"/>
        </w:rPr>
        <w:lastRenderedPageBreak/>
        <w:t xml:space="preserve">study which had already been set out as authoritative, at risk of potential or expected hostility from students or staff. </w:t>
      </w:r>
    </w:p>
    <w:p w14:paraId="18A5C8B8" w14:textId="77777777" w:rsidR="00C55588" w:rsidRDefault="00C55588" w:rsidP="00C55588">
      <w:pPr>
        <w:rPr>
          <w:szCs w:val="24"/>
        </w:rPr>
      </w:pPr>
    </w:p>
    <w:p w14:paraId="6D15D48D" w14:textId="55A175C3" w:rsidR="00702775" w:rsidRPr="00CC62FC" w:rsidRDefault="00702775" w:rsidP="00C55588">
      <w:pPr>
        <w:rPr>
          <w:szCs w:val="24"/>
        </w:rPr>
      </w:pPr>
      <w:r w:rsidRPr="00CC62FC">
        <w:rPr>
          <w:szCs w:val="24"/>
        </w:rPr>
        <w:t>Several respondents recommended that</w:t>
      </w:r>
      <w:r w:rsidR="005321FE" w:rsidRPr="00CC62FC">
        <w:rPr>
          <w:szCs w:val="24"/>
        </w:rPr>
        <w:t>,</w:t>
      </w:r>
      <w:r w:rsidRPr="00CC62FC">
        <w:rPr>
          <w:szCs w:val="24"/>
        </w:rPr>
        <w:t xml:space="preserve"> as ‘Mr’ (</w:t>
      </w:r>
      <w:r w:rsidR="005321FE" w:rsidRPr="00CC62FC">
        <w:rPr>
          <w:szCs w:val="24"/>
        </w:rPr>
        <w:t xml:space="preserve">a queer gender-non-conforming </w:t>
      </w:r>
      <w:proofErr w:type="spellStart"/>
      <w:r w:rsidR="005321FE" w:rsidRPr="00CC62FC">
        <w:rPr>
          <w:szCs w:val="24"/>
        </w:rPr>
        <w:t>cissexual</w:t>
      </w:r>
      <w:proofErr w:type="spellEnd"/>
      <w:r w:rsidR="005321FE" w:rsidRPr="00CC62FC">
        <w:rPr>
          <w:szCs w:val="24"/>
        </w:rPr>
        <w:t xml:space="preserve"> man </w:t>
      </w:r>
      <w:r w:rsidRPr="00CC62FC">
        <w:rPr>
          <w:szCs w:val="24"/>
        </w:rPr>
        <w:t xml:space="preserve">studying History and Politics since 2008) put it, ‘even basic classroom dynamics could have been considerably more trans inclusive, let alone the course content.’ ‘Mr’ was among 6 respondents who commented that students and staff needed to learn not to assume someone’s gender based on their appearance, the gender they had been assigned at birth or the gender on their student records. </w:t>
      </w:r>
      <w:r w:rsidR="005321FE" w:rsidRPr="00CC62FC">
        <w:rPr>
          <w:szCs w:val="24"/>
        </w:rPr>
        <w:t xml:space="preserve">Opinions were divided over whether staff should invite all students to state what gender pronouns they used as part of their classroom management. Two </w:t>
      </w:r>
      <w:proofErr w:type="spellStart"/>
      <w:r w:rsidR="005321FE" w:rsidRPr="00CC62FC">
        <w:rPr>
          <w:szCs w:val="24"/>
        </w:rPr>
        <w:t>genderqueer</w:t>
      </w:r>
      <w:proofErr w:type="spellEnd"/>
      <w:r w:rsidR="005321FE" w:rsidRPr="00CC62FC">
        <w:rPr>
          <w:szCs w:val="24"/>
        </w:rPr>
        <w:t>/</w:t>
      </w:r>
      <w:proofErr w:type="spellStart"/>
      <w:r w:rsidR="005321FE" w:rsidRPr="00CC62FC">
        <w:rPr>
          <w:szCs w:val="24"/>
        </w:rPr>
        <w:t>genderfluid</w:t>
      </w:r>
      <w:proofErr w:type="spellEnd"/>
      <w:r w:rsidR="005321FE" w:rsidRPr="00CC62FC">
        <w:rPr>
          <w:szCs w:val="24"/>
        </w:rPr>
        <w:t xml:space="preserve"> students would have welcomed this, though, as ‘Mr’ pointed out, this could also ‘potentially [be] forcing someone to come out to a room full of strangers’ and removing their agency over who they disclosed their gender identity to. Tuesday, who was now involved in teaching, tried to use non-gender-specific language rather than pronouns when managing her class. </w:t>
      </w:r>
    </w:p>
    <w:p w14:paraId="2B1200D4" w14:textId="77777777" w:rsidR="00C55588" w:rsidRDefault="00C55588" w:rsidP="00C55588">
      <w:pPr>
        <w:rPr>
          <w:rFonts w:cs="Arial"/>
        </w:rPr>
      </w:pPr>
    </w:p>
    <w:p w14:paraId="1DD169CF" w14:textId="5D26D7BD" w:rsidR="005321FE" w:rsidRPr="00CC62FC" w:rsidRDefault="005321FE" w:rsidP="00910FBD">
      <w:pPr>
        <w:rPr>
          <w:rFonts w:cs="Arial"/>
        </w:rPr>
      </w:pPr>
      <w:r w:rsidRPr="00CC62FC">
        <w:rPr>
          <w:rFonts w:cs="Arial"/>
        </w:rPr>
        <w:t xml:space="preserve">Tuesday had also had the most positive environment for discussing </w:t>
      </w:r>
      <w:proofErr w:type="gramStart"/>
      <w:r w:rsidRPr="00CC62FC">
        <w:rPr>
          <w:rFonts w:cs="Arial"/>
        </w:rPr>
        <w:t>trans</w:t>
      </w:r>
      <w:proofErr w:type="gramEnd"/>
      <w:r w:rsidRPr="00CC62FC">
        <w:rPr>
          <w:rFonts w:cs="Arial"/>
        </w:rPr>
        <w:t xml:space="preserve"> issues, during her US undergraduate degree. This had begun in her first-year Introduction to Women’s Studies class and continued into an upper-level Queer Literature module, which had benefited from a self-selecting student body:</w:t>
      </w:r>
    </w:p>
    <w:p w14:paraId="26FAECE4" w14:textId="77777777" w:rsidR="005321FE" w:rsidRPr="00CC62FC" w:rsidRDefault="005321FE" w:rsidP="005321FE">
      <w:pPr>
        <w:ind w:firstLine="284"/>
        <w:rPr>
          <w:rFonts w:cs="Times New Roman"/>
          <w:szCs w:val="24"/>
        </w:rPr>
      </w:pPr>
    </w:p>
    <w:p w14:paraId="60C54353" w14:textId="5447B266" w:rsidR="005321FE" w:rsidRPr="00CC62FC" w:rsidRDefault="005321FE" w:rsidP="005321FE">
      <w:pPr>
        <w:autoSpaceDE w:val="0"/>
        <w:autoSpaceDN w:val="0"/>
        <w:adjustRightInd w:val="0"/>
        <w:ind w:left="567" w:right="567"/>
        <w:rPr>
          <w:rFonts w:cs="Times New Roman"/>
          <w:szCs w:val="24"/>
        </w:rPr>
      </w:pPr>
      <w:r w:rsidRPr="00CC62FC">
        <w:rPr>
          <w:rFonts w:cs="Times New Roman"/>
          <w:szCs w:val="24"/>
        </w:rPr>
        <w:t>The Queer Lit course was exceptional, I thought. It was an elective course, so students who wanted to take it would [take it], skewing very much towards the various LGBTQ+ faces on campus, so it was a very careful space for discussion.</w:t>
      </w:r>
    </w:p>
    <w:p w14:paraId="46B8DFF5" w14:textId="77777777" w:rsidR="005321FE" w:rsidRPr="00CC62FC" w:rsidRDefault="005321FE" w:rsidP="005321FE">
      <w:pPr>
        <w:ind w:firstLine="284"/>
        <w:rPr>
          <w:rFonts w:cs="Times New Roman"/>
          <w:szCs w:val="24"/>
        </w:rPr>
      </w:pPr>
    </w:p>
    <w:p w14:paraId="66205A43" w14:textId="10EC5832" w:rsidR="00014C28" w:rsidRPr="00CC62FC" w:rsidRDefault="005321FE" w:rsidP="00014C28">
      <w:pPr>
        <w:rPr>
          <w:rFonts w:cs="Arial"/>
        </w:rPr>
      </w:pPr>
      <w:r w:rsidRPr="00CC62FC">
        <w:rPr>
          <w:rFonts w:cs="Times New Roman"/>
          <w:szCs w:val="24"/>
        </w:rPr>
        <w:t xml:space="preserve">In many other cases, discussing </w:t>
      </w:r>
      <w:proofErr w:type="gramStart"/>
      <w:r w:rsidRPr="00CC62FC">
        <w:rPr>
          <w:rFonts w:cs="Times New Roman"/>
          <w:szCs w:val="24"/>
        </w:rPr>
        <w:t>trans</w:t>
      </w:r>
      <w:proofErr w:type="gramEnd"/>
      <w:r w:rsidRPr="00CC62FC">
        <w:rPr>
          <w:rFonts w:cs="Times New Roman"/>
          <w:szCs w:val="24"/>
        </w:rPr>
        <w:t xml:space="preserve"> and non-binary issues in particular modules was impeded because students had not yet acquired the foundational, transformative knowledge about gender identity beyond the gender binary (or what trans writers, adopting the naming conventions of US first-year undergraduate modules, often call ‘Trans 101’). This suggests that achieving </w:t>
      </w:r>
      <w:proofErr w:type="gramStart"/>
      <w:r w:rsidRPr="00CC62FC">
        <w:rPr>
          <w:rFonts w:cs="Times New Roman"/>
          <w:szCs w:val="24"/>
        </w:rPr>
        <w:t>trans</w:t>
      </w:r>
      <w:proofErr w:type="gramEnd"/>
      <w:r w:rsidRPr="00CC62FC">
        <w:rPr>
          <w:rFonts w:cs="Times New Roman"/>
          <w:szCs w:val="24"/>
        </w:rPr>
        <w:t xml:space="preserve"> and non-binary inclusivity cannot be fully achieved at module level</w:t>
      </w:r>
      <w:r w:rsidR="004A00BC" w:rsidRPr="00CC62FC">
        <w:rPr>
          <w:rFonts w:cs="Times New Roman"/>
          <w:szCs w:val="24"/>
        </w:rPr>
        <w:t xml:space="preserve">, however committed a particular teacher is to challenging </w:t>
      </w:r>
      <w:proofErr w:type="spellStart"/>
      <w:r w:rsidR="004A00BC" w:rsidRPr="00CC62FC">
        <w:rPr>
          <w:rFonts w:cs="Times New Roman"/>
          <w:szCs w:val="24"/>
        </w:rPr>
        <w:t>cisnormativity</w:t>
      </w:r>
      <w:proofErr w:type="spellEnd"/>
      <w:r w:rsidR="004A00BC" w:rsidRPr="00CC62FC">
        <w:rPr>
          <w:rFonts w:cs="Times New Roman"/>
          <w:szCs w:val="24"/>
        </w:rPr>
        <w:t xml:space="preserve"> and </w:t>
      </w:r>
      <w:proofErr w:type="spellStart"/>
      <w:r w:rsidR="004A00BC" w:rsidRPr="00CC62FC">
        <w:rPr>
          <w:rFonts w:cs="Times New Roman"/>
          <w:szCs w:val="24"/>
        </w:rPr>
        <w:t>transphobia</w:t>
      </w:r>
      <w:proofErr w:type="spellEnd"/>
      <w:r w:rsidR="004A00BC" w:rsidRPr="00CC62FC">
        <w:rPr>
          <w:rFonts w:cs="Times New Roman"/>
          <w:szCs w:val="24"/>
        </w:rPr>
        <w:t xml:space="preserve">; it is instead a </w:t>
      </w:r>
      <w:r w:rsidR="004A00BC" w:rsidRPr="00CC62FC">
        <w:rPr>
          <w:rFonts w:cs="Times New Roman"/>
          <w:i/>
          <w:iCs/>
          <w:szCs w:val="24"/>
        </w:rPr>
        <w:t>programme</w:t>
      </w:r>
      <w:r w:rsidR="004A00BC" w:rsidRPr="00CC62FC">
        <w:rPr>
          <w:rFonts w:cs="Times New Roman"/>
          <w:szCs w:val="24"/>
        </w:rPr>
        <w:t xml:space="preserve">-level matter. </w:t>
      </w:r>
      <w:r w:rsidR="00014C28" w:rsidRPr="00CC62FC">
        <w:rPr>
          <w:rFonts w:cs="Times New Roman"/>
          <w:szCs w:val="24"/>
        </w:rPr>
        <w:t xml:space="preserve">Zahra implied this when explaining how they had </w:t>
      </w:r>
      <w:r w:rsidR="00014C28" w:rsidRPr="00CC62FC">
        <w:rPr>
          <w:rFonts w:cs="Arial"/>
        </w:rPr>
        <w:t xml:space="preserve">felt silenced from talking about non-binary gender in class, in a way that they felt could have been avoided if </w:t>
      </w:r>
      <w:proofErr w:type="spellStart"/>
      <w:r w:rsidR="00014C28" w:rsidRPr="00CC62FC">
        <w:rPr>
          <w:rFonts w:cs="Arial"/>
        </w:rPr>
        <w:t>cis</w:t>
      </w:r>
      <w:proofErr w:type="spellEnd"/>
      <w:r w:rsidR="00014C28" w:rsidRPr="00CC62FC">
        <w:rPr>
          <w:rFonts w:cs="Arial"/>
        </w:rPr>
        <w:t xml:space="preserve"> students had been better prepared outside the module: </w:t>
      </w:r>
    </w:p>
    <w:p w14:paraId="02339D00" w14:textId="77777777" w:rsidR="00014C28" w:rsidRPr="00CC62FC" w:rsidRDefault="00014C28" w:rsidP="00014C28">
      <w:pPr>
        <w:ind w:firstLine="284"/>
        <w:rPr>
          <w:rFonts w:cs="Arial"/>
        </w:rPr>
      </w:pPr>
    </w:p>
    <w:p w14:paraId="111AC89E" w14:textId="77777777" w:rsidR="00014C28" w:rsidRPr="00CC62FC" w:rsidRDefault="00014C28" w:rsidP="00014C28">
      <w:pPr>
        <w:ind w:left="567" w:right="567"/>
        <w:rPr>
          <w:szCs w:val="24"/>
        </w:rPr>
      </w:pPr>
      <w:r w:rsidRPr="00CC62FC">
        <w:rPr>
          <w:szCs w:val="24"/>
        </w:rPr>
        <w:t xml:space="preserve">It was uncomfortable for me to sit still and not say a word as I was uncomfortable outing myself to people who viewed people outside of the binary as being PC. As not normal. It would be great if lecturers or even the students had to do a workshop at the start of the year [to] understand that there are people that see themselves as gender queer or are </w:t>
      </w:r>
      <w:proofErr w:type="spellStart"/>
      <w:r w:rsidRPr="00CC62FC">
        <w:rPr>
          <w:szCs w:val="24"/>
        </w:rPr>
        <w:t>agender</w:t>
      </w:r>
      <w:proofErr w:type="spellEnd"/>
      <w:r w:rsidRPr="00CC62FC">
        <w:rPr>
          <w:szCs w:val="24"/>
        </w:rPr>
        <w:t xml:space="preserve"> or </w:t>
      </w:r>
      <w:proofErr w:type="spellStart"/>
      <w:r w:rsidRPr="00CC62FC">
        <w:rPr>
          <w:szCs w:val="24"/>
        </w:rPr>
        <w:t>bigender</w:t>
      </w:r>
      <w:proofErr w:type="spellEnd"/>
      <w:r w:rsidRPr="00CC62FC">
        <w:rPr>
          <w:szCs w:val="24"/>
        </w:rPr>
        <w:t xml:space="preserve"> and so on.</w:t>
      </w:r>
    </w:p>
    <w:p w14:paraId="4B8F110B" w14:textId="77777777" w:rsidR="00014C28" w:rsidRPr="00CC62FC" w:rsidRDefault="00014C28" w:rsidP="00014C28">
      <w:pPr>
        <w:ind w:firstLine="284"/>
        <w:rPr>
          <w:szCs w:val="24"/>
        </w:rPr>
      </w:pPr>
    </w:p>
    <w:p w14:paraId="39C09504" w14:textId="1D184F32" w:rsidR="005321FE" w:rsidRPr="00CC62FC" w:rsidRDefault="00014C28" w:rsidP="00014C28">
      <w:pPr>
        <w:rPr>
          <w:rFonts w:cs="Times New Roman"/>
          <w:szCs w:val="24"/>
        </w:rPr>
      </w:pPr>
      <w:r w:rsidRPr="00CC62FC">
        <w:rPr>
          <w:rFonts w:cs="Arial"/>
        </w:rPr>
        <w:t xml:space="preserve">Zahra felt this would have made them more able to participate in classes about matters that affected them. </w:t>
      </w:r>
      <w:r w:rsidR="004A00BC" w:rsidRPr="00CC62FC">
        <w:rPr>
          <w:rFonts w:cs="Times New Roman"/>
          <w:szCs w:val="24"/>
        </w:rPr>
        <w:t>Jay, who had studied social sciences in 2003–13 and was now an early-career academic</w:t>
      </w:r>
      <w:r w:rsidRPr="00CC62FC">
        <w:rPr>
          <w:rFonts w:cs="Times New Roman"/>
          <w:szCs w:val="24"/>
        </w:rPr>
        <w:t xml:space="preserve">, shared this view when answering the question about </w:t>
      </w:r>
      <w:r w:rsidR="004A00BC" w:rsidRPr="00CC62FC">
        <w:rPr>
          <w:rFonts w:cs="Times New Roman"/>
          <w:szCs w:val="24"/>
        </w:rPr>
        <w:t xml:space="preserve">how </w:t>
      </w:r>
      <w:r w:rsidRPr="00CC62FC">
        <w:rPr>
          <w:rFonts w:cs="Times New Roman"/>
          <w:szCs w:val="24"/>
        </w:rPr>
        <w:t xml:space="preserve">her </w:t>
      </w:r>
      <w:r w:rsidR="004A00BC" w:rsidRPr="00CC62FC">
        <w:rPr>
          <w:rFonts w:cs="Times New Roman"/>
          <w:szCs w:val="24"/>
        </w:rPr>
        <w:t xml:space="preserve">curriculum’s </w:t>
      </w:r>
      <w:proofErr w:type="gramStart"/>
      <w:r w:rsidR="004A00BC" w:rsidRPr="00CC62FC">
        <w:rPr>
          <w:rFonts w:cs="Times New Roman"/>
          <w:szCs w:val="24"/>
        </w:rPr>
        <w:t>trans</w:t>
      </w:r>
      <w:proofErr w:type="gramEnd"/>
      <w:r w:rsidR="004A00BC" w:rsidRPr="00CC62FC">
        <w:rPr>
          <w:rFonts w:cs="Times New Roman"/>
          <w:szCs w:val="24"/>
        </w:rPr>
        <w:t xml:space="preserve"> inclusivity could have been improved:</w:t>
      </w:r>
    </w:p>
    <w:p w14:paraId="4DBF5818" w14:textId="77777777" w:rsidR="004A00BC" w:rsidRPr="00CC62FC" w:rsidRDefault="004A00BC" w:rsidP="004A00BC">
      <w:pPr>
        <w:ind w:firstLine="284"/>
        <w:rPr>
          <w:rFonts w:cs="Times New Roman"/>
          <w:szCs w:val="24"/>
        </w:rPr>
      </w:pPr>
    </w:p>
    <w:p w14:paraId="5BA87A2D" w14:textId="6D55B1DA" w:rsidR="004A00BC" w:rsidRPr="00CC62FC" w:rsidRDefault="004A00BC" w:rsidP="004A00BC">
      <w:pPr>
        <w:autoSpaceDE w:val="0"/>
        <w:autoSpaceDN w:val="0"/>
        <w:adjustRightInd w:val="0"/>
        <w:ind w:left="567" w:right="567"/>
        <w:rPr>
          <w:rFonts w:cs="Times New Roman"/>
          <w:szCs w:val="24"/>
        </w:rPr>
      </w:pPr>
      <w:r w:rsidRPr="00CC62FC">
        <w:rPr>
          <w:rFonts w:cs="Times New Roman"/>
          <w:szCs w:val="24"/>
        </w:rPr>
        <w:t xml:space="preserve">It would have needed to start with a much more nuanced and developed account of gender, and once that was in place then the trans inclusivity would have naturally followed. I think a lot of failures in this area are packaged up with </w:t>
      </w:r>
      <w:r w:rsidRPr="00CC62FC">
        <w:rPr>
          <w:rFonts w:cs="Times New Roman"/>
          <w:szCs w:val="24"/>
        </w:rPr>
        <w:lastRenderedPageBreak/>
        <w:t xml:space="preserve">a failure to teach gender well. You can't just rock up and say ‘today we’re going to be discussing </w:t>
      </w:r>
      <w:proofErr w:type="spellStart"/>
      <w:r w:rsidRPr="00CC62FC">
        <w:rPr>
          <w:rFonts w:cs="Times New Roman"/>
          <w:szCs w:val="24"/>
        </w:rPr>
        <w:t>nonbinary</w:t>
      </w:r>
      <w:proofErr w:type="spellEnd"/>
      <w:r w:rsidRPr="00CC62FC">
        <w:rPr>
          <w:rFonts w:cs="Times New Roman"/>
          <w:szCs w:val="24"/>
        </w:rPr>
        <w:t xml:space="preserve"> gender experiences’: undergraduates especially struggle with the idea that gender is not a fixed, biological, determined ‘thing’. The binary is so self-evident to them that it becomes invisible. So the issue is much bigger.</w:t>
      </w:r>
    </w:p>
    <w:p w14:paraId="18F2D94B" w14:textId="77777777" w:rsidR="004A00BC" w:rsidRPr="00CC62FC" w:rsidRDefault="004A00BC" w:rsidP="004A00BC">
      <w:pPr>
        <w:ind w:left="567" w:right="567" w:firstLine="284"/>
        <w:rPr>
          <w:rFonts w:cs="Times New Roman"/>
          <w:szCs w:val="24"/>
        </w:rPr>
      </w:pPr>
    </w:p>
    <w:p w14:paraId="2CE70E92" w14:textId="65F2E846" w:rsidR="0092397A" w:rsidRPr="00CC62FC" w:rsidRDefault="004A00BC" w:rsidP="00014C28">
      <w:pPr>
        <w:rPr>
          <w:rFonts w:cs="Arial"/>
        </w:rPr>
      </w:pPr>
      <w:r w:rsidRPr="00CC62FC">
        <w:rPr>
          <w:rFonts w:cs="Arial"/>
        </w:rPr>
        <w:t xml:space="preserve">Expecting one optional module to do all the transformative work in changing students’ understanding of a threshold concept is an extremely difficult task. </w:t>
      </w:r>
      <w:r w:rsidR="00014C28" w:rsidRPr="00CC62FC">
        <w:rPr>
          <w:rFonts w:cs="Arial"/>
        </w:rPr>
        <w:t xml:space="preserve">It also overlooks the level of what knowledge </w:t>
      </w:r>
      <w:r w:rsidR="00014C28" w:rsidRPr="00CC62FC">
        <w:rPr>
          <w:rFonts w:cs="Arial"/>
          <w:i/>
          <w:iCs/>
        </w:rPr>
        <w:t>teachers</w:t>
      </w:r>
      <w:r w:rsidR="00014C28" w:rsidRPr="00CC62FC">
        <w:rPr>
          <w:rFonts w:cs="Arial"/>
        </w:rPr>
        <w:t xml:space="preserve"> need in order to teach </w:t>
      </w:r>
      <w:proofErr w:type="spellStart"/>
      <w:r w:rsidR="00014C28" w:rsidRPr="00CC62FC">
        <w:rPr>
          <w:rFonts w:cs="Arial"/>
        </w:rPr>
        <w:t>transformatively</w:t>
      </w:r>
      <w:proofErr w:type="spellEnd"/>
      <w:r w:rsidR="00014C28" w:rsidRPr="00CC62FC">
        <w:rPr>
          <w:rFonts w:cs="Arial"/>
        </w:rPr>
        <w:t xml:space="preserve"> about gender</w:t>
      </w:r>
      <w:r w:rsidR="0092397A" w:rsidRPr="00CC62FC">
        <w:rPr>
          <w:rFonts w:cs="Arial"/>
        </w:rPr>
        <w:t xml:space="preserve">; as hooks (1994: 36) notes, ‘the fears teachers have when asked to shift their paradigms’ are real, and need to be alleviated through ‘transformative pedagogy’ themselves. </w:t>
      </w:r>
    </w:p>
    <w:p w14:paraId="69ABD999" w14:textId="77777777" w:rsidR="004A00BC" w:rsidRPr="00CC62FC" w:rsidRDefault="004A00BC" w:rsidP="005321FE">
      <w:pPr>
        <w:ind w:firstLine="284"/>
        <w:rPr>
          <w:rFonts w:cs="Arial"/>
        </w:rPr>
      </w:pPr>
    </w:p>
    <w:p w14:paraId="0C343137" w14:textId="6CB69184" w:rsidR="0034529A" w:rsidRPr="00CC62FC" w:rsidRDefault="00C55588" w:rsidP="00EC670E">
      <w:pPr>
        <w:rPr>
          <w:rFonts w:cs="Arial"/>
          <w:i/>
          <w:iCs/>
          <w:szCs w:val="24"/>
        </w:rPr>
      </w:pPr>
      <w:r>
        <w:rPr>
          <w:rFonts w:cs="Arial"/>
          <w:i/>
          <w:iCs/>
          <w:szCs w:val="24"/>
        </w:rPr>
        <w:t xml:space="preserve">2.4 </w:t>
      </w:r>
      <w:r w:rsidR="006D56F2" w:rsidRPr="00CC62FC">
        <w:rPr>
          <w:rFonts w:cs="Arial"/>
          <w:i/>
          <w:iCs/>
          <w:szCs w:val="24"/>
        </w:rPr>
        <w:t xml:space="preserve">Relative importance of curriculum and other areas of </w:t>
      </w:r>
      <w:proofErr w:type="gramStart"/>
      <w:r w:rsidR="006D56F2" w:rsidRPr="00CC62FC">
        <w:rPr>
          <w:rFonts w:cs="Arial"/>
          <w:i/>
          <w:iCs/>
          <w:szCs w:val="24"/>
        </w:rPr>
        <w:t>HE</w:t>
      </w:r>
      <w:proofErr w:type="gramEnd"/>
    </w:p>
    <w:p w14:paraId="777F2650" w14:textId="77777777" w:rsidR="006D56F2" w:rsidRPr="00CC62FC" w:rsidRDefault="006D56F2" w:rsidP="00EC670E">
      <w:pPr>
        <w:rPr>
          <w:rFonts w:cs="Arial"/>
          <w:szCs w:val="24"/>
        </w:rPr>
      </w:pPr>
    </w:p>
    <w:p w14:paraId="5BEA2864" w14:textId="13DD95C9" w:rsidR="008D50F8" w:rsidRDefault="006D56F2" w:rsidP="00910FBD">
      <w:pPr>
        <w:rPr>
          <w:rFonts w:cs="Arial"/>
          <w:szCs w:val="24"/>
        </w:rPr>
      </w:pPr>
      <w:r w:rsidRPr="00CC62FC">
        <w:rPr>
          <w:rFonts w:cs="Arial"/>
          <w:szCs w:val="24"/>
        </w:rPr>
        <w:t>Respondents identified a range of issues outside the curriculum that needed to be addressed in order for higher education to be a trans</w:t>
      </w:r>
      <w:r w:rsidR="00910FBD">
        <w:rPr>
          <w:rFonts w:cs="Arial"/>
          <w:szCs w:val="24"/>
        </w:rPr>
        <w:t>-</w:t>
      </w:r>
      <w:r w:rsidRPr="00CC62FC">
        <w:rPr>
          <w:rFonts w:cs="Arial"/>
          <w:szCs w:val="24"/>
        </w:rPr>
        <w:t xml:space="preserve">inclusive environment </w:t>
      </w:r>
      <w:r w:rsidR="003D0518" w:rsidRPr="00CC62FC">
        <w:rPr>
          <w:rFonts w:cs="Arial"/>
          <w:szCs w:val="24"/>
        </w:rPr>
        <w:t>(Table 7</w:t>
      </w:r>
      <w:r w:rsidR="00A934DC" w:rsidRPr="00CC62FC">
        <w:rPr>
          <w:rFonts w:cs="Arial"/>
          <w:szCs w:val="24"/>
        </w:rPr>
        <w:t xml:space="preserve">) </w:t>
      </w:r>
      <w:r w:rsidRPr="00CC62FC">
        <w:rPr>
          <w:rFonts w:cs="Arial"/>
          <w:szCs w:val="24"/>
        </w:rPr>
        <w:t>– chiefly</w:t>
      </w:r>
      <w:r w:rsidR="0069576D" w:rsidRPr="00CC62FC">
        <w:rPr>
          <w:rFonts w:cs="Arial"/>
          <w:szCs w:val="24"/>
        </w:rPr>
        <w:t>:</w:t>
      </w:r>
      <w:r w:rsidRPr="00CC62FC">
        <w:rPr>
          <w:rFonts w:cs="Arial"/>
          <w:szCs w:val="24"/>
        </w:rPr>
        <w:t xml:space="preserve"> </w:t>
      </w:r>
      <w:r w:rsidR="0069576D" w:rsidRPr="00CC62FC">
        <w:rPr>
          <w:rFonts w:cs="Arial"/>
          <w:szCs w:val="24"/>
        </w:rPr>
        <w:t xml:space="preserve">safe </w:t>
      </w:r>
      <w:r w:rsidRPr="00CC62FC">
        <w:rPr>
          <w:rFonts w:cs="Arial"/>
          <w:szCs w:val="24"/>
        </w:rPr>
        <w:t>access to toilets</w:t>
      </w:r>
      <w:r w:rsidR="0069576D" w:rsidRPr="00CC62FC">
        <w:rPr>
          <w:rFonts w:cs="Arial"/>
          <w:szCs w:val="24"/>
        </w:rPr>
        <w:t xml:space="preserve"> (including gender-neutral toilet provision and respecting all students’ right to choose the appropriate toilet for their gender)</w:t>
      </w:r>
      <w:r w:rsidRPr="00CC62FC">
        <w:rPr>
          <w:rFonts w:cs="Arial"/>
          <w:szCs w:val="24"/>
        </w:rPr>
        <w:t xml:space="preserve">; accommodation and housing provision; smooth and consistent procedures for implementing students’ name and pronoun changes; accommodating trans students in Mitigating Circumstances procedures; </w:t>
      </w:r>
      <w:r w:rsidR="00F95F7E" w:rsidRPr="00CC62FC">
        <w:rPr>
          <w:rFonts w:cs="Arial"/>
          <w:szCs w:val="24"/>
        </w:rPr>
        <w:t xml:space="preserve">use of inclusive language; </w:t>
      </w:r>
      <w:r w:rsidRPr="00CC62FC">
        <w:rPr>
          <w:rFonts w:cs="Arial"/>
          <w:szCs w:val="24"/>
        </w:rPr>
        <w:t xml:space="preserve">and avoiding the </w:t>
      </w:r>
      <w:proofErr w:type="spellStart"/>
      <w:r w:rsidRPr="00CC62FC">
        <w:rPr>
          <w:rFonts w:cs="Arial"/>
          <w:szCs w:val="24"/>
        </w:rPr>
        <w:t>misgendering</w:t>
      </w:r>
      <w:proofErr w:type="spellEnd"/>
      <w:r w:rsidRPr="00CC62FC">
        <w:rPr>
          <w:rFonts w:cs="Arial"/>
          <w:szCs w:val="24"/>
        </w:rPr>
        <w:t xml:space="preserve"> or outing of students </w:t>
      </w:r>
      <w:r w:rsidRPr="00C55588">
        <w:rPr>
          <w:rFonts w:cs="Arial"/>
          <w:szCs w:val="24"/>
        </w:rPr>
        <w:t xml:space="preserve">through university paperwork and IDs. </w:t>
      </w:r>
      <w:r w:rsidR="008D50F8">
        <w:rPr>
          <w:rFonts w:cs="Arial"/>
          <w:szCs w:val="24"/>
        </w:rPr>
        <w:t>These findings suggest that, as the NUS survey of LGBT students in 2014 also found, ‘the multiple barriers that [trans] people face as students’ need to be addressed ‘simultaneously’ (</w:t>
      </w:r>
      <w:proofErr w:type="spellStart"/>
      <w:r w:rsidR="008D50F8">
        <w:rPr>
          <w:rFonts w:cs="Arial"/>
          <w:szCs w:val="24"/>
        </w:rPr>
        <w:t>Acciari</w:t>
      </w:r>
      <w:proofErr w:type="spellEnd"/>
      <w:r w:rsidR="008D50F8">
        <w:rPr>
          <w:rFonts w:cs="Arial"/>
          <w:szCs w:val="24"/>
        </w:rPr>
        <w:t xml:space="preserve"> 2014: 19) for students to be able to participate in teaching and learning.</w:t>
      </w:r>
    </w:p>
    <w:p w14:paraId="794F7E0A" w14:textId="77777777" w:rsidR="008D50F8" w:rsidRDefault="008D50F8" w:rsidP="008D50F8">
      <w:pPr>
        <w:rPr>
          <w:rFonts w:cs="Arial"/>
          <w:szCs w:val="24"/>
        </w:rPr>
      </w:pPr>
    </w:p>
    <w:p w14:paraId="38405FFB" w14:textId="04D983F6" w:rsidR="00D21DCB" w:rsidRPr="00C55588" w:rsidRDefault="008D50F8" w:rsidP="001B4E37">
      <w:pPr>
        <w:rPr>
          <w:rFonts w:cs="Arial"/>
          <w:szCs w:val="24"/>
        </w:rPr>
      </w:pPr>
      <w:r>
        <w:rPr>
          <w:rFonts w:cs="Arial"/>
          <w:szCs w:val="24"/>
        </w:rPr>
        <w:t xml:space="preserve">Many of these barriers related to university systems forcing students to reveal their </w:t>
      </w:r>
      <w:proofErr w:type="gramStart"/>
      <w:r>
        <w:rPr>
          <w:rFonts w:cs="Arial"/>
          <w:szCs w:val="24"/>
        </w:rPr>
        <w:t>trans</w:t>
      </w:r>
      <w:proofErr w:type="gramEnd"/>
      <w:r>
        <w:rPr>
          <w:rFonts w:cs="Arial"/>
          <w:szCs w:val="24"/>
        </w:rPr>
        <w:t xml:space="preserve"> status and/or </w:t>
      </w:r>
      <w:r w:rsidR="00323183">
        <w:rPr>
          <w:rFonts w:cs="Arial"/>
          <w:szCs w:val="24"/>
        </w:rPr>
        <w:t>a previous name</w:t>
      </w:r>
      <w:r>
        <w:rPr>
          <w:rFonts w:cs="Arial"/>
          <w:szCs w:val="24"/>
        </w:rPr>
        <w:t>, or not communicating name/pronoun changes effectively.</w:t>
      </w:r>
      <w:r w:rsidR="00323183">
        <w:rPr>
          <w:rFonts w:cs="Arial"/>
          <w:szCs w:val="24"/>
        </w:rPr>
        <w:t xml:space="preserve"> Jon, for instance, pointed out that universities needed to ‘[a]</w:t>
      </w:r>
      <w:proofErr w:type="spellStart"/>
      <w:r w:rsidR="00323183">
        <w:rPr>
          <w:rFonts w:cs="Arial"/>
          <w:szCs w:val="24"/>
        </w:rPr>
        <w:t>llow</w:t>
      </w:r>
      <w:proofErr w:type="spellEnd"/>
      <w:r w:rsidR="00323183">
        <w:rPr>
          <w:rFonts w:cs="Arial"/>
          <w:szCs w:val="24"/>
        </w:rPr>
        <w:t xml:space="preserve"> students to use chosen names and titles – my old name flashed up on a screen whenever I took out books’. He had also had severe difficulties obtaining degree certificates in his correct name, and had experienced directly </w:t>
      </w:r>
      <w:proofErr w:type="spellStart"/>
      <w:r w:rsidR="00323183">
        <w:rPr>
          <w:rFonts w:cs="Arial"/>
          <w:szCs w:val="24"/>
        </w:rPr>
        <w:t>transphobic</w:t>
      </w:r>
      <w:proofErr w:type="spellEnd"/>
      <w:r w:rsidR="00323183">
        <w:rPr>
          <w:rFonts w:cs="Arial"/>
          <w:szCs w:val="24"/>
        </w:rPr>
        <w:t xml:space="preserve"> jokes by tutors in class. As with the </w:t>
      </w:r>
      <w:r w:rsidR="00F7014B">
        <w:rPr>
          <w:rFonts w:cs="Arial"/>
          <w:szCs w:val="24"/>
        </w:rPr>
        <w:t xml:space="preserve">inclusivity of the </w:t>
      </w:r>
      <w:r w:rsidR="00323183">
        <w:rPr>
          <w:rFonts w:cs="Arial"/>
          <w:szCs w:val="24"/>
        </w:rPr>
        <w:t xml:space="preserve">curriculum, therefore, even an administrative system that followed best practice in ensuring trans/non-binary people’s privacy and autonomy would still </w:t>
      </w:r>
      <w:r w:rsidR="00F7014B">
        <w:rPr>
          <w:rFonts w:cs="Arial"/>
          <w:szCs w:val="24"/>
        </w:rPr>
        <w:t xml:space="preserve">fail to achieve its objectives if staff continued to behave in </w:t>
      </w:r>
      <w:proofErr w:type="spellStart"/>
      <w:r w:rsidR="00F7014B">
        <w:rPr>
          <w:rFonts w:cs="Arial"/>
          <w:szCs w:val="24"/>
        </w:rPr>
        <w:t>transphobic</w:t>
      </w:r>
      <w:proofErr w:type="spellEnd"/>
      <w:r w:rsidR="00F7014B">
        <w:rPr>
          <w:rFonts w:cs="Arial"/>
          <w:szCs w:val="24"/>
        </w:rPr>
        <w:t xml:space="preserve"> ways. Indeed, </w:t>
      </w:r>
      <w:r>
        <w:rPr>
          <w:rFonts w:eastAsia="Times New Roman" w:cs="Arial"/>
        </w:rPr>
        <w:t xml:space="preserve">NUS research in 2014 found that </w:t>
      </w:r>
      <w:r w:rsidR="001B4E37">
        <w:rPr>
          <w:rFonts w:eastAsia="Times New Roman" w:cs="Arial"/>
        </w:rPr>
        <w:t xml:space="preserve">(although 6 out of 10 trans respondents believed their lecturers would intervene if they witnessed </w:t>
      </w:r>
      <w:proofErr w:type="spellStart"/>
      <w:r w:rsidR="001B4E37">
        <w:rPr>
          <w:rFonts w:eastAsia="Times New Roman" w:cs="Arial"/>
        </w:rPr>
        <w:t>transphobic</w:t>
      </w:r>
      <w:proofErr w:type="spellEnd"/>
      <w:r w:rsidR="001B4E37">
        <w:rPr>
          <w:rFonts w:eastAsia="Times New Roman" w:cs="Arial"/>
        </w:rPr>
        <w:t xml:space="preserve"> behaviour in the classroom</w:t>
      </w:r>
      <w:r w:rsidR="001B4E37">
        <w:rPr>
          <w:rStyle w:val="FootnoteReference"/>
          <w:rFonts w:eastAsia="Times New Roman" w:cs="Arial"/>
        </w:rPr>
        <w:footnoteReference w:id="11"/>
      </w:r>
      <w:r w:rsidR="001B4E37">
        <w:rPr>
          <w:rFonts w:eastAsia="Times New Roman" w:cs="Arial"/>
        </w:rPr>
        <w:t xml:space="preserve">) </w:t>
      </w:r>
      <w:r>
        <w:rPr>
          <w:rFonts w:eastAsia="Times New Roman" w:cs="Arial"/>
        </w:rPr>
        <w:t xml:space="preserve">‘[t]he great majority’ of trans respondents had been ‘repeatedly misnamed and </w:t>
      </w:r>
      <w:proofErr w:type="spellStart"/>
      <w:r>
        <w:rPr>
          <w:rFonts w:eastAsia="Times New Roman" w:cs="Arial"/>
        </w:rPr>
        <w:t>mis</w:t>
      </w:r>
      <w:proofErr w:type="spellEnd"/>
      <w:r>
        <w:rPr>
          <w:rFonts w:eastAsia="Times New Roman" w:cs="Arial"/>
        </w:rPr>
        <w:t>-gendered by their tutors’ in terms that amounted to harassment</w:t>
      </w:r>
      <w:r w:rsidR="001B4E37">
        <w:rPr>
          <w:rFonts w:eastAsia="Times New Roman" w:cs="Arial"/>
        </w:rPr>
        <w:t xml:space="preserve"> (</w:t>
      </w:r>
      <w:proofErr w:type="spellStart"/>
      <w:r w:rsidR="001B4E37">
        <w:rPr>
          <w:rFonts w:eastAsia="Times New Roman" w:cs="Arial"/>
        </w:rPr>
        <w:t>Acciari</w:t>
      </w:r>
      <w:proofErr w:type="spellEnd"/>
      <w:r w:rsidR="001B4E37">
        <w:rPr>
          <w:rFonts w:eastAsia="Times New Roman" w:cs="Arial"/>
        </w:rPr>
        <w:t xml:space="preserve"> 2014: 22, 39)</w:t>
      </w:r>
      <w:r>
        <w:rPr>
          <w:rFonts w:eastAsia="Times New Roman" w:cs="Arial"/>
        </w:rPr>
        <w:t xml:space="preserve">. </w:t>
      </w:r>
      <w:r w:rsidR="00D21DCB" w:rsidRPr="00C55588">
        <w:rPr>
          <w:rFonts w:cs="Arial"/>
          <w:szCs w:val="24"/>
        </w:rPr>
        <w:t xml:space="preserve">The psychological stakes of </w:t>
      </w:r>
      <w:proofErr w:type="spellStart"/>
      <w:r w:rsidR="00D21DCB" w:rsidRPr="00C55588">
        <w:rPr>
          <w:rFonts w:cs="Arial"/>
          <w:szCs w:val="24"/>
        </w:rPr>
        <w:t>misgendering</w:t>
      </w:r>
      <w:proofErr w:type="spellEnd"/>
      <w:r w:rsidR="00D21DCB" w:rsidRPr="00C55588">
        <w:rPr>
          <w:rFonts w:cs="Arial"/>
          <w:szCs w:val="24"/>
        </w:rPr>
        <w:t xml:space="preserve"> are illustrated by the testimony of a young </w:t>
      </w:r>
      <w:proofErr w:type="gramStart"/>
      <w:r w:rsidR="00D21DCB" w:rsidRPr="00C55588">
        <w:rPr>
          <w:rFonts w:cs="Arial"/>
          <w:szCs w:val="24"/>
        </w:rPr>
        <w:t>trans</w:t>
      </w:r>
      <w:proofErr w:type="gramEnd"/>
      <w:r w:rsidR="00D21DCB" w:rsidRPr="00C55588">
        <w:rPr>
          <w:rFonts w:cs="Arial"/>
          <w:szCs w:val="24"/>
        </w:rPr>
        <w:t xml:space="preserve"> man who summarised his university experience in written evidence to the parliamentary Transgender Equality inquiry:</w:t>
      </w:r>
    </w:p>
    <w:p w14:paraId="76E81F01" w14:textId="77777777" w:rsidR="00D21DCB" w:rsidRPr="00C55588" w:rsidRDefault="00D21DCB" w:rsidP="00D21DCB">
      <w:pPr>
        <w:rPr>
          <w:rFonts w:cs="Arial"/>
          <w:szCs w:val="24"/>
        </w:rPr>
      </w:pPr>
    </w:p>
    <w:p w14:paraId="41FA68D1" w14:textId="792BFCC4" w:rsidR="00D21DCB" w:rsidRPr="00C55588" w:rsidRDefault="00D21DCB" w:rsidP="00C55588">
      <w:pPr>
        <w:ind w:left="720"/>
        <w:rPr>
          <w:rFonts w:cs="Arial"/>
          <w:szCs w:val="24"/>
        </w:rPr>
      </w:pPr>
      <w:r w:rsidRPr="00C55588">
        <w:rPr>
          <w:rFonts w:cs="Arial"/>
          <w:szCs w:val="24"/>
        </w:rPr>
        <w:t>I […]</w:t>
      </w:r>
      <w:r w:rsidRPr="00C55588">
        <w:rPr>
          <w:szCs w:val="24"/>
        </w:rPr>
        <w:t xml:space="preserve">studied Psychology for two of three terms, eventually suspending and then ceasing study all together before I'd finished the year due to many reasons. Most of the reason was my own disability, but it was exacerbated by bullying from other students, and ignorance by lecturers. Frequently I was </w:t>
      </w:r>
      <w:proofErr w:type="spellStart"/>
      <w:r w:rsidRPr="00C55588">
        <w:rPr>
          <w:szCs w:val="24"/>
        </w:rPr>
        <w:t>misgendered</w:t>
      </w:r>
      <w:proofErr w:type="spellEnd"/>
      <w:r w:rsidRPr="00C55588">
        <w:rPr>
          <w:szCs w:val="24"/>
        </w:rPr>
        <w:t xml:space="preserve"> (mistaken for </w:t>
      </w:r>
      <w:r w:rsidRPr="00C55588">
        <w:rPr>
          <w:szCs w:val="24"/>
        </w:rPr>
        <w:lastRenderedPageBreak/>
        <w:t>female, in my case, such as the wrong pronouns or title being used) by teachers as my voice hadn't yet been lowered by testosterone hormone replacement therapy, a mistake, but one which could've been avoided if they'd just looked at my name on the register – XXXX. I went through effort and expense, correcting every part of my documentation to avoid those issues, but one word, one pronoun, invalidates all of that in those moments.</w:t>
      </w:r>
      <w:r w:rsidRPr="00C55588">
        <w:rPr>
          <w:rStyle w:val="FootnoteReference"/>
          <w:szCs w:val="24"/>
        </w:rPr>
        <w:footnoteReference w:id="12"/>
      </w:r>
    </w:p>
    <w:p w14:paraId="0833F277" w14:textId="77777777" w:rsidR="00D21DCB" w:rsidRPr="00C55588" w:rsidRDefault="00D21DCB" w:rsidP="00D21DCB">
      <w:pPr>
        <w:rPr>
          <w:rFonts w:cs="Arial"/>
          <w:szCs w:val="24"/>
        </w:rPr>
      </w:pPr>
    </w:p>
    <w:p w14:paraId="049D0D1A" w14:textId="1FAC4C90" w:rsidR="00323183" w:rsidRDefault="00323183" w:rsidP="00323183">
      <w:pPr>
        <w:rPr>
          <w:rFonts w:eastAsia="Times New Roman" w:cs="Arial"/>
        </w:rPr>
      </w:pPr>
      <w:r>
        <w:rPr>
          <w:rFonts w:cs="Arial"/>
        </w:rPr>
        <w:t xml:space="preserve">Young people suffering </w:t>
      </w:r>
      <w:proofErr w:type="spellStart"/>
      <w:r>
        <w:rPr>
          <w:rFonts w:cs="Arial"/>
        </w:rPr>
        <w:t>transphobic</w:t>
      </w:r>
      <w:proofErr w:type="spellEnd"/>
      <w:r>
        <w:rPr>
          <w:rFonts w:cs="Arial"/>
        </w:rPr>
        <w:t xml:space="preserve">, </w:t>
      </w:r>
      <w:proofErr w:type="spellStart"/>
      <w:r>
        <w:rPr>
          <w:rFonts w:cs="Arial"/>
        </w:rPr>
        <w:t>biphobic</w:t>
      </w:r>
      <w:proofErr w:type="spellEnd"/>
      <w:r>
        <w:rPr>
          <w:rFonts w:cs="Arial"/>
        </w:rPr>
        <w:t xml:space="preserve"> or homophobic harassment inside and outside class, as an LGBT Youth Scotland study of young people’s experiences in education stated, </w:t>
      </w:r>
      <w:r w:rsidRPr="00C55588">
        <w:rPr>
          <w:rFonts w:cs="Arial"/>
        </w:rPr>
        <w:t>‘</w:t>
      </w:r>
      <w:r w:rsidRPr="00C55588">
        <w:rPr>
          <w:rFonts w:eastAsia="Times New Roman" w:cs="Arial"/>
        </w:rPr>
        <w:t xml:space="preserve">are more than </w:t>
      </w:r>
      <w:r w:rsidRPr="00BB0EEE">
        <w:rPr>
          <w:rFonts w:eastAsia="Times New Roman" w:cs="Arial"/>
        </w:rPr>
        <w:t>likely diverting their energy from learning to protecting themselves from physical, mental or emotional harm. Until they are protected from such discrimination, their wellbeing</w:t>
      </w:r>
      <w:r w:rsidRPr="00C55588">
        <w:rPr>
          <w:rFonts w:eastAsia="Times New Roman" w:cs="Arial"/>
        </w:rPr>
        <w:t xml:space="preserve"> </w:t>
      </w:r>
      <w:r w:rsidRPr="00BB0EEE">
        <w:rPr>
          <w:rFonts w:eastAsia="Times New Roman" w:cs="Arial"/>
        </w:rPr>
        <w:t>is not ensured</w:t>
      </w:r>
      <w:r w:rsidRPr="00C55588">
        <w:rPr>
          <w:rFonts w:eastAsia="Times New Roman" w:cs="Arial"/>
        </w:rPr>
        <w:t>’ (LGBT Youth Scotland 2012: 12).</w:t>
      </w:r>
      <w:r>
        <w:rPr>
          <w:rFonts w:eastAsia="Times New Roman" w:cs="Arial"/>
        </w:rPr>
        <w:t xml:space="preserve"> </w:t>
      </w:r>
    </w:p>
    <w:p w14:paraId="2E5BBDA1" w14:textId="77777777" w:rsidR="00323183" w:rsidRDefault="00323183" w:rsidP="00D21DCB">
      <w:pPr>
        <w:rPr>
          <w:rFonts w:eastAsia="Times New Roman" w:cs="Arial"/>
        </w:rPr>
      </w:pPr>
    </w:p>
    <w:p w14:paraId="4608D54F" w14:textId="36C7FDD6" w:rsidR="00F95F7E" w:rsidRPr="00CC62FC" w:rsidRDefault="00323183" w:rsidP="00910FBD">
      <w:pPr>
        <w:rPr>
          <w:rFonts w:cs="Arial"/>
          <w:szCs w:val="24"/>
        </w:rPr>
      </w:pPr>
      <w:r>
        <w:rPr>
          <w:rFonts w:cs="Arial"/>
          <w:szCs w:val="24"/>
        </w:rPr>
        <w:t xml:space="preserve">The impact of wider university structures on students’ capacity to participate in learning and teaching suggested by this survey is therefore consistent with the findings of larger-scale quantitative research. </w:t>
      </w:r>
      <w:r w:rsidR="006D56F2" w:rsidRPr="00C55588">
        <w:rPr>
          <w:rFonts w:cs="Arial"/>
          <w:szCs w:val="24"/>
        </w:rPr>
        <w:t>A noticeable finding</w:t>
      </w:r>
      <w:r>
        <w:rPr>
          <w:rFonts w:cs="Arial"/>
          <w:szCs w:val="24"/>
        </w:rPr>
        <w:t xml:space="preserve"> which was made possible because participants’ responses were based on free text</w:t>
      </w:r>
      <w:r w:rsidR="006D56F2" w:rsidRPr="00C55588">
        <w:rPr>
          <w:rFonts w:cs="Arial"/>
          <w:szCs w:val="24"/>
        </w:rPr>
        <w:t xml:space="preserve">, however – and </w:t>
      </w:r>
      <w:r>
        <w:rPr>
          <w:rFonts w:cs="Arial"/>
          <w:szCs w:val="24"/>
        </w:rPr>
        <w:t xml:space="preserve">a finding </w:t>
      </w:r>
      <w:r w:rsidR="006D56F2" w:rsidRPr="00C55588">
        <w:rPr>
          <w:rFonts w:cs="Arial"/>
          <w:szCs w:val="24"/>
        </w:rPr>
        <w:t xml:space="preserve">that would not have been picked up in surveys conducted among trans students only – is that </w:t>
      </w:r>
      <w:r>
        <w:rPr>
          <w:rFonts w:cs="Arial"/>
          <w:szCs w:val="24"/>
        </w:rPr>
        <w:t xml:space="preserve">when asked about issues outside the curriculum, </w:t>
      </w:r>
      <w:r w:rsidR="006D56F2" w:rsidRPr="00C55588">
        <w:rPr>
          <w:rFonts w:cs="Arial"/>
          <w:szCs w:val="24"/>
        </w:rPr>
        <w:t>trans and non-binary respondents highlighted</w:t>
      </w:r>
      <w:r w:rsidR="00F95F7E" w:rsidRPr="00CC62FC">
        <w:rPr>
          <w:rFonts w:cs="Arial"/>
          <w:szCs w:val="24"/>
        </w:rPr>
        <w:t xml:space="preserve"> more matters than </w:t>
      </w:r>
      <w:proofErr w:type="spellStart"/>
      <w:r w:rsidR="00F95F7E" w:rsidRPr="00CC62FC">
        <w:rPr>
          <w:rFonts w:cs="Arial"/>
          <w:szCs w:val="24"/>
        </w:rPr>
        <w:t>cis</w:t>
      </w:r>
      <w:proofErr w:type="spellEnd"/>
      <w:r w:rsidR="00F95F7E" w:rsidRPr="00CC62FC">
        <w:rPr>
          <w:rFonts w:cs="Arial"/>
          <w:szCs w:val="24"/>
        </w:rPr>
        <w:t xml:space="preserve"> respondents, highlighted many matters that </w:t>
      </w:r>
      <w:proofErr w:type="spellStart"/>
      <w:r w:rsidR="00F95F7E" w:rsidRPr="00CC62FC">
        <w:rPr>
          <w:rFonts w:cs="Arial"/>
          <w:szCs w:val="24"/>
        </w:rPr>
        <w:t>cis</w:t>
      </w:r>
      <w:proofErr w:type="spellEnd"/>
      <w:r w:rsidR="00F95F7E" w:rsidRPr="00CC62FC">
        <w:rPr>
          <w:rFonts w:cs="Arial"/>
          <w:szCs w:val="24"/>
        </w:rPr>
        <w:t xml:space="preserve"> respondents did not, and generally provided more detail about the implications of the matters they discussed. </w:t>
      </w:r>
    </w:p>
    <w:p w14:paraId="419DCFAF" w14:textId="77777777" w:rsidR="00C55588" w:rsidRDefault="00C55588" w:rsidP="00C55588">
      <w:pPr>
        <w:rPr>
          <w:rFonts w:cs="Arial"/>
          <w:szCs w:val="24"/>
        </w:rPr>
      </w:pPr>
    </w:p>
    <w:p w14:paraId="79EC4194" w14:textId="2033C3FE" w:rsidR="008D50F8" w:rsidRDefault="00F95F7E" w:rsidP="00323183">
      <w:pPr>
        <w:rPr>
          <w:rFonts w:cs="Arial"/>
          <w:szCs w:val="24"/>
        </w:rPr>
      </w:pPr>
      <w:r w:rsidRPr="00CC62FC">
        <w:rPr>
          <w:rFonts w:cs="Arial"/>
          <w:szCs w:val="24"/>
        </w:rPr>
        <w:t xml:space="preserve">Major issues reflected in ECU guidance, university </w:t>
      </w:r>
      <w:proofErr w:type="gramStart"/>
      <w:r w:rsidRPr="00CC62FC">
        <w:rPr>
          <w:rFonts w:cs="Arial"/>
          <w:szCs w:val="24"/>
        </w:rPr>
        <w:t>trans</w:t>
      </w:r>
      <w:proofErr w:type="gramEnd"/>
      <w:r w:rsidRPr="00CC62FC">
        <w:rPr>
          <w:rFonts w:cs="Arial"/>
          <w:szCs w:val="24"/>
        </w:rPr>
        <w:t xml:space="preserve"> equality policies and staff diversity training were mentioned both by </w:t>
      </w:r>
      <w:proofErr w:type="spellStart"/>
      <w:r w:rsidRPr="00CC62FC">
        <w:rPr>
          <w:rFonts w:cs="Arial"/>
          <w:szCs w:val="24"/>
        </w:rPr>
        <w:t>cis</w:t>
      </w:r>
      <w:proofErr w:type="spellEnd"/>
      <w:r w:rsidRPr="00CC62FC">
        <w:rPr>
          <w:rFonts w:cs="Arial"/>
          <w:szCs w:val="24"/>
        </w:rPr>
        <w:t xml:space="preserve"> and trans/non-binary respondents, though trans/non-binary respondents mentioned them more often. </w:t>
      </w:r>
      <w:r w:rsidR="00CB0B20" w:rsidRPr="00CC62FC">
        <w:rPr>
          <w:rFonts w:cs="Arial"/>
          <w:szCs w:val="24"/>
        </w:rPr>
        <w:t>Ma</w:t>
      </w:r>
      <w:r w:rsidR="008D50F8">
        <w:rPr>
          <w:rFonts w:cs="Arial"/>
          <w:szCs w:val="24"/>
        </w:rPr>
        <w:t xml:space="preserve">ny matters to do with everyday interaction with university systems and services were, however, </w:t>
      </w:r>
      <w:r w:rsidR="00CB0B20" w:rsidRPr="00CC62FC">
        <w:rPr>
          <w:rFonts w:cs="Arial"/>
          <w:szCs w:val="24"/>
        </w:rPr>
        <w:t>raised only by trans/non-binary respondents</w:t>
      </w:r>
      <w:r w:rsidR="008D50F8">
        <w:rPr>
          <w:rFonts w:cs="Arial"/>
          <w:szCs w:val="24"/>
        </w:rPr>
        <w:t>. These</w:t>
      </w:r>
      <w:r w:rsidR="00CB0B20" w:rsidRPr="00CC62FC">
        <w:rPr>
          <w:rFonts w:cs="Arial"/>
          <w:szCs w:val="24"/>
        </w:rPr>
        <w:t xml:space="preserve"> included the need to design processes that prevented forced disclosure of a student’s trans status or (if they had changed it) birth name; trans and non-binary inclusion in student societies (including trans inclusion in LGBT societies, </w:t>
      </w:r>
      <w:r w:rsidR="006F2CB2" w:rsidRPr="00CC62FC">
        <w:rPr>
          <w:rFonts w:cs="Arial"/>
          <w:szCs w:val="24"/>
        </w:rPr>
        <w:t xml:space="preserve">and </w:t>
      </w:r>
      <w:r w:rsidR="00CB0B20" w:rsidRPr="00CC62FC">
        <w:rPr>
          <w:rFonts w:cs="Arial"/>
          <w:szCs w:val="24"/>
        </w:rPr>
        <w:t>non-binary students needing reassurance they would not be perceived as ‘not trans enough’); trans awareness in university medical services, including gender-neutral access to condoms and pregnancy tests; the problem of gender non-conformity being treated as an intellectual curiosity not a lived experience</w:t>
      </w:r>
      <w:r w:rsidR="00CB0B20" w:rsidRPr="00C55588">
        <w:rPr>
          <w:rFonts w:cs="Arial"/>
          <w:szCs w:val="24"/>
        </w:rPr>
        <w:t xml:space="preserve">; and, perhaps most seriously, </w:t>
      </w:r>
      <w:proofErr w:type="spellStart"/>
      <w:r w:rsidR="00CB0B20" w:rsidRPr="00C55588">
        <w:rPr>
          <w:rFonts w:cs="Arial"/>
          <w:szCs w:val="24"/>
        </w:rPr>
        <w:t>transphobic</w:t>
      </w:r>
      <w:proofErr w:type="spellEnd"/>
      <w:r w:rsidR="00CB0B20" w:rsidRPr="00C55588">
        <w:rPr>
          <w:rFonts w:cs="Arial"/>
          <w:szCs w:val="24"/>
        </w:rPr>
        <w:t xml:space="preserve"> harassment by students and </w:t>
      </w:r>
      <w:r w:rsidR="008D50F8">
        <w:rPr>
          <w:rFonts w:cs="Arial"/>
          <w:szCs w:val="24"/>
        </w:rPr>
        <w:t xml:space="preserve">also by </w:t>
      </w:r>
      <w:r w:rsidR="00CB0B20" w:rsidRPr="00C55588">
        <w:rPr>
          <w:rFonts w:cs="Arial"/>
          <w:szCs w:val="24"/>
        </w:rPr>
        <w:t xml:space="preserve">staff. </w:t>
      </w:r>
      <w:r w:rsidRPr="00C55588">
        <w:rPr>
          <w:rFonts w:cs="Arial"/>
          <w:szCs w:val="24"/>
        </w:rPr>
        <w:t xml:space="preserve">No </w:t>
      </w:r>
      <w:proofErr w:type="spellStart"/>
      <w:r w:rsidRPr="00C55588">
        <w:rPr>
          <w:rFonts w:cs="Arial"/>
          <w:szCs w:val="24"/>
        </w:rPr>
        <w:t>cis</w:t>
      </w:r>
      <w:proofErr w:type="spellEnd"/>
      <w:r w:rsidRPr="00C55588">
        <w:rPr>
          <w:rFonts w:cs="Arial"/>
          <w:szCs w:val="24"/>
        </w:rPr>
        <w:t xml:space="preserve"> respondents questioned why universities needed to ask about gender on forms, but this was the single</w:t>
      </w:r>
      <w:r w:rsidRPr="00CC62FC">
        <w:rPr>
          <w:rFonts w:cs="Arial"/>
          <w:szCs w:val="24"/>
        </w:rPr>
        <w:t xml:space="preserve"> most common point trans/non-binary respondents </w:t>
      </w:r>
      <w:r w:rsidR="00C91DE2" w:rsidRPr="00CC62FC">
        <w:rPr>
          <w:rFonts w:cs="Arial"/>
          <w:szCs w:val="24"/>
        </w:rPr>
        <w:t>made</w:t>
      </w:r>
      <w:r w:rsidRPr="00CC62FC">
        <w:rPr>
          <w:rFonts w:cs="Arial"/>
          <w:szCs w:val="24"/>
        </w:rPr>
        <w:t xml:space="preserve">. </w:t>
      </w:r>
    </w:p>
    <w:p w14:paraId="5332144A" w14:textId="77777777" w:rsidR="008D50F8" w:rsidRDefault="008D50F8" w:rsidP="00C55588">
      <w:pPr>
        <w:rPr>
          <w:rFonts w:cs="Arial"/>
          <w:szCs w:val="24"/>
        </w:rPr>
      </w:pPr>
    </w:p>
    <w:p w14:paraId="618AA3A8" w14:textId="104D9381" w:rsidR="00F95F7E" w:rsidRPr="00CC62FC" w:rsidRDefault="008D50F8" w:rsidP="00910FBD">
      <w:pPr>
        <w:rPr>
          <w:rFonts w:cs="Arial"/>
          <w:szCs w:val="24"/>
        </w:rPr>
      </w:pPr>
      <w:r>
        <w:rPr>
          <w:rFonts w:cs="Arial"/>
          <w:szCs w:val="24"/>
        </w:rPr>
        <w:t xml:space="preserve">The </w:t>
      </w:r>
      <w:r w:rsidR="00CB0B20" w:rsidRPr="00CC62FC">
        <w:rPr>
          <w:rFonts w:cs="Arial"/>
          <w:szCs w:val="24"/>
        </w:rPr>
        <w:t xml:space="preserve">divergence </w:t>
      </w:r>
      <w:r>
        <w:rPr>
          <w:rFonts w:cs="Arial"/>
          <w:szCs w:val="24"/>
        </w:rPr>
        <w:t xml:space="preserve">between issues raised by trans/non-binary participants and </w:t>
      </w:r>
      <w:proofErr w:type="spellStart"/>
      <w:r>
        <w:rPr>
          <w:rFonts w:cs="Arial"/>
          <w:szCs w:val="24"/>
        </w:rPr>
        <w:t>cis</w:t>
      </w:r>
      <w:proofErr w:type="spellEnd"/>
      <w:r>
        <w:rPr>
          <w:rFonts w:cs="Arial"/>
          <w:szCs w:val="24"/>
        </w:rPr>
        <w:t xml:space="preserve"> participants in response to this question </w:t>
      </w:r>
      <w:r w:rsidR="00CB0B20" w:rsidRPr="00CC62FC">
        <w:rPr>
          <w:rFonts w:cs="Arial"/>
          <w:szCs w:val="24"/>
        </w:rPr>
        <w:t xml:space="preserve">demonstrates that </w:t>
      </w:r>
      <w:proofErr w:type="gramStart"/>
      <w:r w:rsidR="00CB0B20" w:rsidRPr="00CC62FC">
        <w:rPr>
          <w:rFonts w:cs="Arial"/>
          <w:szCs w:val="24"/>
        </w:rPr>
        <w:t>trans</w:t>
      </w:r>
      <w:proofErr w:type="gramEnd"/>
      <w:r w:rsidR="00CB0B20" w:rsidRPr="00CC62FC">
        <w:rPr>
          <w:rFonts w:cs="Arial"/>
          <w:szCs w:val="24"/>
        </w:rPr>
        <w:t xml:space="preserve"> students have perspectives that </w:t>
      </w:r>
      <w:proofErr w:type="spellStart"/>
      <w:r w:rsidR="00CB0B20" w:rsidRPr="00CC62FC">
        <w:rPr>
          <w:rFonts w:cs="Arial"/>
          <w:szCs w:val="24"/>
        </w:rPr>
        <w:t>cis</w:t>
      </w:r>
      <w:proofErr w:type="spellEnd"/>
      <w:r w:rsidR="00CB0B20" w:rsidRPr="00CC62FC">
        <w:rPr>
          <w:rFonts w:cs="Arial"/>
          <w:szCs w:val="24"/>
        </w:rPr>
        <w:t xml:space="preserve"> </w:t>
      </w:r>
      <w:r w:rsidR="0069576D" w:rsidRPr="00CC62FC">
        <w:rPr>
          <w:rFonts w:cs="Arial"/>
          <w:szCs w:val="24"/>
        </w:rPr>
        <w:t>students and staff</w:t>
      </w:r>
      <w:r w:rsidR="00CB0B20" w:rsidRPr="00CC62FC">
        <w:rPr>
          <w:rFonts w:cs="Arial"/>
          <w:szCs w:val="24"/>
        </w:rPr>
        <w:t xml:space="preserve">, even if well-informed, are much less likely to perceive. </w:t>
      </w:r>
      <w:r w:rsidR="0069576D" w:rsidRPr="00CC62FC">
        <w:rPr>
          <w:rFonts w:cs="Arial"/>
          <w:szCs w:val="24"/>
        </w:rPr>
        <w:t xml:space="preserve">The implication for universities’ duties under the Equalities Act, and also for curriculum development, is that meaningful consultation with </w:t>
      </w:r>
      <w:proofErr w:type="gramStart"/>
      <w:r w:rsidR="0069576D" w:rsidRPr="00CC62FC">
        <w:rPr>
          <w:rFonts w:cs="Arial"/>
          <w:szCs w:val="24"/>
        </w:rPr>
        <w:t>trans</w:t>
      </w:r>
      <w:proofErr w:type="gramEnd"/>
      <w:r w:rsidR="0069576D" w:rsidRPr="00CC62FC">
        <w:rPr>
          <w:rFonts w:cs="Arial"/>
          <w:szCs w:val="24"/>
        </w:rPr>
        <w:t xml:space="preserve"> students is essential in order to ensure that new procedures and curriculum content will actually meet their needs. </w:t>
      </w:r>
    </w:p>
    <w:p w14:paraId="30AA8477" w14:textId="77777777" w:rsidR="0069576D" w:rsidRPr="00CC62FC" w:rsidRDefault="0069576D" w:rsidP="00F95F7E">
      <w:pPr>
        <w:ind w:firstLine="284"/>
        <w:rPr>
          <w:rFonts w:cs="Arial"/>
          <w:szCs w:val="24"/>
        </w:rPr>
      </w:pPr>
    </w:p>
    <w:p w14:paraId="162BF63E" w14:textId="322F4B7B" w:rsidR="0069576D" w:rsidRPr="00CC62FC" w:rsidRDefault="00C55588" w:rsidP="0069576D">
      <w:pPr>
        <w:rPr>
          <w:rFonts w:cs="Arial"/>
          <w:b/>
          <w:bCs/>
          <w:szCs w:val="24"/>
        </w:rPr>
      </w:pPr>
      <w:r>
        <w:rPr>
          <w:rFonts w:cs="Arial"/>
          <w:b/>
          <w:bCs/>
          <w:szCs w:val="24"/>
        </w:rPr>
        <w:t xml:space="preserve">3. </w:t>
      </w:r>
      <w:r w:rsidR="0069576D" w:rsidRPr="00CC62FC">
        <w:rPr>
          <w:rFonts w:cs="Arial"/>
          <w:b/>
          <w:bCs/>
          <w:szCs w:val="24"/>
        </w:rPr>
        <w:t>Conclusions and recommendations</w:t>
      </w:r>
    </w:p>
    <w:p w14:paraId="1F670093" w14:textId="77777777" w:rsidR="0069576D" w:rsidRPr="00CC62FC" w:rsidRDefault="0069576D" w:rsidP="00F95F7E">
      <w:pPr>
        <w:ind w:firstLine="284"/>
        <w:rPr>
          <w:rFonts w:cs="Arial"/>
          <w:szCs w:val="24"/>
        </w:rPr>
      </w:pPr>
    </w:p>
    <w:p w14:paraId="01CF5FDE" w14:textId="166FF352" w:rsidR="0019098A" w:rsidRDefault="0019098A" w:rsidP="0019098A">
      <w:pPr>
        <w:rPr>
          <w:rFonts w:cs="Arial"/>
        </w:rPr>
      </w:pPr>
      <w:r>
        <w:rPr>
          <w:rFonts w:cs="Arial"/>
          <w:szCs w:val="24"/>
        </w:rPr>
        <w:lastRenderedPageBreak/>
        <w:t xml:space="preserve">These findings suggest that, at least in terms of student perceptions, there has not been any </w:t>
      </w:r>
      <w:r w:rsidR="00C91DE2" w:rsidRPr="00CC62FC">
        <w:rPr>
          <w:rFonts w:cs="Arial"/>
          <w:szCs w:val="24"/>
        </w:rPr>
        <w:t>significant improvement in trans/non-binary inclusivity since 2010</w:t>
      </w:r>
      <w:r>
        <w:rPr>
          <w:rFonts w:cs="Arial"/>
          <w:szCs w:val="24"/>
        </w:rPr>
        <w:t>,</w:t>
      </w:r>
      <w:r w:rsidR="00C91DE2" w:rsidRPr="00CC62FC">
        <w:rPr>
          <w:rFonts w:cs="Arial"/>
          <w:szCs w:val="24"/>
        </w:rPr>
        <w:t xml:space="preserve"> </w:t>
      </w:r>
      <w:r>
        <w:rPr>
          <w:rFonts w:cs="Arial"/>
          <w:szCs w:val="24"/>
        </w:rPr>
        <w:t xml:space="preserve">even though </w:t>
      </w:r>
      <w:r w:rsidR="00C91DE2" w:rsidRPr="00CC62FC">
        <w:rPr>
          <w:rFonts w:cs="Arial"/>
          <w:szCs w:val="24"/>
        </w:rPr>
        <w:t xml:space="preserve">gender reassignment </w:t>
      </w:r>
      <w:r>
        <w:rPr>
          <w:rFonts w:cs="Arial"/>
          <w:szCs w:val="24"/>
        </w:rPr>
        <w:t xml:space="preserve">at that time became a protected characteristic under UK </w:t>
      </w:r>
      <w:r w:rsidR="00C91DE2" w:rsidRPr="00CC62FC">
        <w:rPr>
          <w:rFonts w:cs="Arial"/>
          <w:szCs w:val="24"/>
        </w:rPr>
        <w:t>equalities legislation</w:t>
      </w:r>
      <w:r>
        <w:rPr>
          <w:rFonts w:cs="Arial"/>
          <w:szCs w:val="24"/>
        </w:rPr>
        <w:t xml:space="preserve">. This is contrary to the first hypothesis behind the study, which expected greater improvement might have been perceived. The second and third hypotheses – </w:t>
      </w:r>
      <w:r w:rsidRPr="00CC62FC">
        <w:rPr>
          <w:rFonts w:cs="Arial"/>
        </w:rPr>
        <w:t xml:space="preserve">that </w:t>
      </w:r>
      <w:r>
        <w:rPr>
          <w:rFonts w:cs="Arial"/>
        </w:rPr>
        <w:t xml:space="preserve">participants </w:t>
      </w:r>
      <w:r w:rsidRPr="00CC62FC">
        <w:rPr>
          <w:rFonts w:cs="Arial"/>
        </w:rPr>
        <w:t xml:space="preserve">would not perceive the curriculum as inclusive in practice if instructors </w:t>
      </w:r>
      <w:r>
        <w:rPr>
          <w:rFonts w:cs="Arial"/>
        </w:rPr>
        <w:t xml:space="preserve">teaching trans-inclusive material had caused or failed to challenge </w:t>
      </w:r>
      <w:proofErr w:type="spellStart"/>
      <w:r>
        <w:rPr>
          <w:rFonts w:cs="Arial"/>
        </w:rPr>
        <w:t>transphobic</w:t>
      </w:r>
      <w:proofErr w:type="spellEnd"/>
      <w:r>
        <w:rPr>
          <w:rFonts w:cs="Arial"/>
        </w:rPr>
        <w:t xml:space="preserve"> ‘</w:t>
      </w:r>
      <w:proofErr w:type="spellStart"/>
      <w:r>
        <w:rPr>
          <w:rFonts w:cs="Arial"/>
        </w:rPr>
        <w:t>microaggressions</w:t>
      </w:r>
      <w:proofErr w:type="spellEnd"/>
      <w:r>
        <w:rPr>
          <w:rFonts w:cs="Arial"/>
        </w:rPr>
        <w:t xml:space="preserve">’ </w:t>
      </w:r>
      <w:r w:rsidRPr="00CC62FC">
        <w:rPr>
          <w:rFonts w:cs="Arial"/>
        </w:rPr>
        <w:t>(McKinney 2005: 68)</w:t>
      </w:r>
      <w:r>
        <w:rPr>
          <w:rFonts w:cs="Arial"/>
        </w:rPr>
        <w:t xml:space="preserve">, and that participants would still not perceive non-binary gender identities to have been included in teaching – were both supported, though the baseline level of perceptions about inclusivity in general did not give the third hypothesis much to improve on. </w:t>
      </w:r>
    </w:p>
    <w:p w14:paraId="5FD65FD6" w14:textId="77777777" w:rsidR="0019098A" w:rsidRDefault="0019098A" w:rsidP="0019098A">
      <w:pPr>
        <w:rPr>
          <w:rFonts w:cs="Arial"/>
        </w:rPr>
      </w:pPr>
    </w:p>
    <w:p w14:paraId="75EA18F4" w14:textId="0A9C62EB" w:rsidR="0069576D" w:rsidRPr="00CC62FC" w:rsidRDefault="0019098A" w:rsidP="00CE28F9">
      <w:pPr>
        <w:rPr>
          <w:rFonts w:cs="Arial"/>
          <w:szCs w:val="24"/>
        </w:rPr>
      </w:pPr>
      <w:r>
        <w:rPr>
          <w:rFonts w:cs="Arial"/>
        </w:rPr>
        <w:t xml:space="preserve">As an exploratory study, this research had several limitations which need to be acknowledged. </w:t>
      </w:r>
      <w:r w:rsidR="00C91DE2" w:rsidRPr="00CC62FC">
        <w:rPr>
          <w:rFonts w:cs="Arial"/>
          <w:szCs w:val="24"/>
        </w:rPr>
        <w:t xml:space="preserve">The study had a small number of participants and </w:t>
      </w:r>
      <w:r w:rsidR="009F79B0" w:rsidRPr="00CC62FC">
        <w:rPr>
          <w:rFonts w:cs="Arial"/>
          <w:szCs w:val="24"/>
        </w:rPr>
        <w:t xml:space="preserve">was not designed to be statistically significant, nor </w:t>
      </w:r>
      <w:r w:rsidR="00C91DE2" w:rsidRPr="00CC62FC">
        <w:rPr>
          <w:rFonts w:cs="Arial"/>
          <w:szCs w:val="24"/>
        </w:rPr>
        <w:t xml:space="preserve">to </w:t>
      </w:r>
      <w:r w:rsidR="009F79B0" w:rsidRPr="00CC62FC">
        <w:rPr>
          <w:rFonts w:cs="Arial"/>
          <w:szCs w:val="24"/>
        </w:rPr>
        <w:t xml:space="preserve">demonstrate how important a trans/non-binary-inclusive curriculum would be perceived as being among the </w:t>
      </w:r>
      <w:r>
        <w:rPr>
          <w:rFonts w:cs="Arial"/>
          <w:szCs w:val="24"/>
        </w:rPr>
        <w:t xml:space="preserve">UK </w:t>
      </w:r>
      <w:r w:rsidR="009F79B0" w:rsidRPr="00CC62FC">
        <w:rPr>
          <w:rFonts w:cs="Arial"/>
          <w:szCs w:val="24"/>
        </w:rPr>
        <w:t xml:space="preserve">student body as a whole. In collecting responses from across the humanities and social sciences, it did not specifically ask about aspects of disciplinary pedagogy that would require specific attention in these subject areas in order to ensure trans/non-binary-inclusive provision: for instance, the one Archaeology student (Laura) was the only respondent to mention support for trans students during residential fieldwork at remote archaeological sites with communal and gender-segregated accommodation, but this would be a significant consideration for all Archaeology departments/programmes and a potential barrier to trans/non-binary students succeeding in (or even choosing) Archaeology or other subjects (such as Geography) with </w:t>
      </w:r>
      <w:r w:rsidR="00302D4F" w:rsidRPr="00CC62FC">
        <w:rPr>
          <w:rFonts w:cs="Arial"/>
          <w:szCs w:val="24"/>
        </w:rPr>
        <w:t xml:space="preserve">organised </w:t>
      </w:r>
      <w:r w:rsidR="009F79B0" w:rsidRPr="00CC62FC">
        <w:rPr>
          <w:rFonts w:cs="Arial"/>
          <w:szCs w:val="24"/>
        </w:rPr>
        <w:t xml:space="preserve">residential fieldwork elements. </w:t>
      </w:r>
      <w:r w:rsidR="00CE28F9">
        <w:rPr>
          <w:rFonts w:cs="Arial"/>
          <w:szCs w:val="24"/>
        </w:rPr>
        <w:t xml:space="preserve">Similarly, </w:t>
      </w:r>
      <w:r w:rsidR="00CE28F9">
        <w:t>w</w:t>
      </w:r>
      <w:r w:rsidR="00CE28F9" w:rsidRPr="00C55588">
        <w:t>hile no Languages/Area Studies respondents mentioned the solo year/semester abroad, this could cause similar (indeed greater) difficulties for trans/non-binary students, especially those who would need to travel with hormones, who would face additional risks in international travel because their identity documents did not match their gender pr</w:t>
      </w:r>
      <w:r w:rsidR="00CE28F9">
        <w:t>esentation (see Beauchamp 2009)</w:t>
      </w:r>
      <w:r w:rsidR="00CE28F9" w:rsidRPr="00C55588">
        <w:t xml:space="preserve"> or who could not obtain accurate ID so could not travel.</w:t>
      </w:r>
      <w:r w:rsidR="00CE28F9">
        <w:t xml:space="preserve"> Subject associations in consultation with current/former trans/non-binary students of their subject could assist university departments here by publishing best practice guidelines geared to their disciplines’ distinctive teaching methods and learning environments. </w:t>
      </w:r>
    </w:p>
    <w:p w14:paraId="28D9660B" w14:textId="77777777" w:rsidR="00C55588" w:rsidRDefault="00C55588" w:rsidP="00C55588">
      <w:pPr>
        <w:rPr>
          <w:rFonts w:cs="Arial"/>
          <w:szCs w:val="24"/>
        </w:rPr>
      </w:pPr>
    </w:p>
    <w:p w14:paraId="38C43C7B" w14:textId="77777777" w:rsidR="00CE28F9" w:rsidRDefault="00CE28F9" w:rsidP="00CE28F9">
      <w:pPr>
        <w:rPr>
          <w:rFonts w:cs="Arial"/>
          <w:szCs w:val="24"/>
        </w:rPr>
      </w:pPr>
      <w:r>
        <w:rPr>
          <w:rFonts w:cs="Arial"/>
          <w:szCs w:val="24"/>
        </w:rPr>
        <w:t>T</w:t>
      </w:r>
      <w:r w:rsidR="009F79B0" w:rsidRPr="00CC62FC">
        <w:rPr>
          <w:rFonts w:cs="Arial"/>
          <w:szCs w:val="24"/>
        </w:rPr>
        <w:t xml:space="preserve">he </w:t>
      </w:r>
      <w:r>
        <w:rPr>
          <w:rFonts w:cs="Arial"/>
          <w:szCs w:val="24"/>
        </w:rPr>
        <w:t xml:space="preserve">accounts collected in the survey suggest that several </w:t>
      </w:r>
      <w:r w:rsidR="006F2CB2" w:rsidRPr="00CC62FC">
        <w:rPr>
          <w:rFonts w:cs="Arial"/>
          <w:szCs w:val="24"/>
        </w:rPr>
        <w:t xml:space="preserve">recommendations can </w:t>
      </w:r>
      <w:r>
        <w:rPr>
          <w:rFonts w:cs="Arial"/>
          <w:szCs w:val="24"/>
        </w:rPr>
        <w:t>still be made:</w:t>
      </w:r>
      <w:r w:rsidR="006F2CB2" w:rsidRPr="00CC62FC">
        <w:rPr>
          <w:rFonts w:cs="Arial"/>
          <w:szCs w:val="24"/>
        </w:rPr>
        <w:t xml:space="preserve"> </w:t>
      </w:r>
    </w:p>
    <w:p w14:paraId="4E1A868B" w14:textId="0B207111" w:rsidR="00CE28F9" w:rsidRPr="00CE28F9" w:rsidRDefault="006F2CB2" w:rsidP="00910FBD">
      <w:pPr>
        <w:pStyle w:val="ListParagraph"/>
        <w:numPr>
          <w:ilvl w:val="0"/>
          <w:numId w:val="4"/>
        </w:numPr>
        <w:jc w:val="left"/>
        <w:rPr>
          <w:rFonts w:cs="Arial"/>
          <w:szCs w:val="24"/>
        </w:rPr>
      </w:pPr>
      <w:r w:rsidRPr="00CE28F9">
        <w:rPr>
          <w:rFonts w:cs="Arial"/>
          <w:szCs w:val="24"/>
        </w:rPr>
        <w:t xml:space="preserve">Curricula should, at the very least, incorporate </w:t>
      </w:r>
      <w:proofErr w:type="gramStart"/>
      <w:r w:rsidRPr="00CE28F9">
        <w:rPr>
          <w:rFonts w:cs="Arial"/>
          <w:szCs w:val="24"/>
        </w:rPr>
        <w:t>trans</w:t>
      </w:r>
      <w:proofErr w:type="gramEnd"/>
      <w:r w:rsidRPr="00CE28F9">
        <w:rPr>
          <w:rFonts w:cs="Arial"/>
          <w:szCs w:val="24"/>
        </w:rPr>
        <w:t xml:space="preserve"> identities and experiences as an integral part of the subject rather than segregating them as a specialised or optional topic. </w:t>
      </w:r>
    </w:p>
    <w:p w14:paraId="5A410603" w14:textId="77777777" w:rsidR="00CE28F9" w:rsidRPr="00CE28F9" w:rsidRDefault="006F2CB2" w:rsidP="00CE28F9">
      <w:pPr>
        <w:pStyle w:val="ListParagraph"/>
        <w:numPr>
          <w:ilvl w:val="0"/>
          <w:numId w:val="4"/>
        </w:numPr>
        <w:jc w:val="left"/>
        <w:rPr>
          <w:rFonts w:cs="Arial"/>
          <w:szCs w:val="24"/>
        </w:rPr>
      </w:pPr>
      <w:r w:rsidRPr="00CE28F9">
        <w:rPr>
          <w:rFonts w:cs="Arial"/>
          <w:szCs w:val="24"/>
        </w:rPr>
        <w:t xml:space="preserve">They should not, however, be presented in an intellectualised or abstract way, or without awareness that there are likely to be </w:t>
      </w:r>
      <w:proofErr w:type="gramStart"/>
      <w:r w:rsidRPr="00CE28F9">
        <w:rPr>
          <w:rFonts w:cs="Arial"/>
          <w:szCs w:val="24"/>
        </w:rPr>
        <w:t>trans</w:t>
      </w:r>
      <w:proofErr w:type="gramEnd"/>
      <w:r w:rsidRPr="00CE28F9">
        <w:rPr>
          <w:rFonts w:cs="Arial"/>
          <w:szCs w:val="24"/>
        </w:rPr>
        <w:t xml:space="preserve"> or non-binary students among the class.</w:t>
      </w:r>
    </w:p>
    <w:p w14:paraId="39EE9DA1" w14:textId="77777777" w:rsidR="00CE28F9" w:rsidRPr="00CE28F9" w:rsidRDefault="006F2CB2" w:rsidP="00CE28F9">
      <w:pPr>
        <w:pStyle w:val="ListParagraph"/>
        <w:numPr>
          <w:ilvl w:val="0"/>
          <w:numId w:val="4"/>
        </w:numPr>
        <w:jc w:val="left"/>
        <w:rPr>
          <w:rFonts w:cs="Arial"/>
          <w:szCs w:val="24"/>
        </w:rPr>
      </w:pPr>
      <w:r w:rsidRPr="00CE28F9">
        <w:rPr>
          <w:rFonts w:cs="Arial"/>
          <w:szCs w:val="24"/>
        </w:rPr>
        <w:t>Opportunities for independent learning which enable students to pursue trans/non-binary topics should be created</w:t>
      </w:r>
      <w:r w:rsidR="00CE28F9" w:rsidRPr="00CE28F9">
        <w:rPr>
          <w:rFonts w:cs="Arial"/>
          <w:szCs w:val="24"/>
        </w:rPr>
        <w:t>,</w:t>
      </w:r>
      <w:r w:rsidRPr="00CE28F9">
        <w:rPr>
          <w:rFonts w:cs="Arial"/>
          <w:szCs w:val="24"/>
        </w:rPr>
        <w:t xml:space="preserve"> </w:t>
      </w:r>
    </w:p>
    <w:p w14:paraId="7BFACA76" w14:textId="1221FD43" w:rsidR="00CE28F9" w:rsidRPr="00CE28F9" w:rsidRDefault="006F2CB2" w:rsidP="00CE28F9">
      <w:pPr>
        <w:pStyle w:val="ListParagraph"/>
        <w:numPr>
          <w:ilvl w:val="0"/>
          <w:numId w:val="4"/>
        </w:numPr>
        <w:jc w:val="left"/>
        <w:rPr>
          <w:rFonts w:cs="Arial"/>
          <w:szCs w:val="24"/>
        </w:rPr>
      </w:pPr>
      <w:r w:rsidRPr="00CE28F9">
        <w:rPr>
          <w:rFonts w:cs="Arial"/>
          <w:szCs w:val="24"/>
        </w:rPr>
        <w:t>and</w:t>
      </w:r>
      <w:r w:rsidR="00CE28F9" w:rsidRPr="00CE28F9">
        <w:rPr>
          <w:rFonts w:cs="Arial"/>
          <w:szCs w:val="24"/>
        </w:rPr>
        <w:t xml:space="preserve"> </w:t>
      </w:r>
      <w:r w:rsidRPr="00CE28F9">
        <w:rPr>
          <w:rFonts w:cs="Arial"/>
          <w:szCs w:val="24"/>
        </w:rPr>
        <w:t xml:space="preserve">should </w:t>
      </w:r>
      <w:r w:rsidRPr="00CE28F9">
        <w:rPr>
          <w:rFonts w:cs="Arial"/>
          <w:i/>
          <w:iCs/>
          <w:szCs w:val="24"/>
        </w:rPr>
        <w:t>be actively resourced</w:t>
      </w:r>
      <w:r w:rsidRPr="00CE28F9">
        <w:rPr>
          <w:rFonts w:cs="Arial"/>
          <w:szCs w:val="24"/>
        </w:rPr>
        <w:t xml:space="preserve"> through up-to-date library provision, </w:t>
      </w:r>
    </w:p>
    <w:p w14:paraId="3CFDA9AA" w14:textId="31BBB6AB" w:rsidR="00CE28F9" w:rsidRPr="00CE28F9" w:rsidRDefault="006F2CB2" w:rsidP="00910FBD">
      <w:pPr>
        <w:pStyle w:val="ListParagraph"/>
        <w:numPr>
          <w:ilvl w:val="0"/>
          <w:numId w:val="4"/>
        </w:numPr>
        <w:jc w:val="left"/>
        <w:rPr>
          <w:rFonts w:cs="Arial"/>
          <w:szCs w:val="24"/>
        </w:rPr>
      </w:pPr>
      <w:proofErr w:type="gramStart"/>
      <w:r w:rsidRPr="00CE28F9">
        <w:rPr>
          <w:rFonts w:cs="Arial"/>
          <w:szCs w:val="24"/>
        </w:rPr>
        <w:t>but</w:t>
      </w:r>
      <w:proofErr w:type="gramEnd"/>
      <w:r w:rsidRPr="00CE28F9">
        <w:rPr>
          <w:rFonts w:cs="Arial"/>
          <w:szCs w:val="24"/>
        </w:rPr>
        <w:t xml:space="preserve"> tutors and departments should not depend on trans students to </w:t>
      </w:r>
      <w:r w:rsidRPr="00CE28F9">
        <w:rPr>
          <w:rFonts w:cs="Arial"/>
          <w:i/>
          <w:iCs/>
          <w:szCs w:val="24"/>
        </w:rPr>
        <w:t>be</w:t>
      </w:r>
      <w:r w:rsidRPr="00CE28F9">
        <w:rPr>
          <w:rFonts w:cs="Arial"/>
          <w:szCs w:val="24"/>
        </w:rPr>
        <w:t xml:space="preserve"> the trans curriculum by educating classmates and staff through seminars. </w:t>
      </w:r>
    </w:p>
    <w:p w14:paraId="66878BD1" w14:textId="77777777" w:rsidR="00CE28F9" w:rsidRPr="00CE28F9" w:rsidRDefault="006F2CB2" w:rsidP="00CE28F9">
      <w:pPr>
        <w:pStyle w:val="ListParagraph"/>
        <w:numPr>
          <w:ilvl w:val="0"/>
          <w:numId w:val="4"/>
        </w:numPr>
        <w:jc w:val="left"/>
        <w:rPr>
          <w:rFonts w:cs="Arial"/>
          <w:szCs w:val="24"/>
        </w:rPr>
      </w:pPr>
      <w:r w:rsidRPr="00CE28F9">
        <w:rPr>
          <w:rFonts w:cs="Arial"/>
          <w:szCs w:val="24"/>
        </w:rPr>
        <w:t xml:space="preserve">The diversity of gender identities and embodied experiences of gender should instead be recognised as a threshold concept that needs to be addressed at </w:t>
      </w:r>
      <w:r w:rsidRPr="00CE28F9">
        <w:rPr>
          <w:rFonts w:cs="Arial"/>
          <w:szCs w:val="24"/>
        </w:rPr>
        <w:lastRenderedPageBreak/>
        <w:t xml:space="preserve">programme level, potentially university-wide level, to ensure that more specific teaching in individual modules can be effective. </w:t>
      </w:r>
    </w:p>
    <w:p w14:paraId="50078E59" w14:textId="095B94F7" w:rsidR="00CE28F9" w:rsidRPr="00CE28F9" w:rsidRDefault="006F2CB2" w:rsidP="00910FBD">
      <w:pPr>
        <w:pStyle w:val="ListParagraph"/>
        <w:numPr>
          <w:ilvl w:val="0"/>
          <w:numId w:val="4"/>
        </w:numPr>
        <w:jc w:val="left"/>
        <w:rPr>
          <w:rFonts w:cs="Arial"/>
          <w:szCs w:val="24"/>
        </w:rPr>
      </w:pPr>
      <w:r w:rsidRPr="00CE28F9">
        <w:rPr>
          <w:rFonts w:cs="Arial"/>
          <w:szCs w:val="24"/>
        </w:rPr>
        <w:t xml:space="preserve">At the same time, it is essential to provide </w:t>
      </w:r>
      <w:r w:rsidRPr="00CE28F9">
        <w:rPr>
          <w:rFonts w:cs="Arial"/>
          <w:i/>
          <w:iCs/>
          <w:szCs w:val="24"/>
        </w:rPr>
        <w:t>functioning</w:t>
      </w:r>
      <w:r w:rsidRPr="00CE28F9">
        <w:rPr>
          <w:rFonts w:cs="Arial"/>
          <w:szCs w:val="24"/>
        </w:rPr>
        <w:t xml:space="preserve"> mechanisms for reporting </w:t>
      </w:r>
      <w:proofErr w:type="spellStart"/>
      <w:r w:rsidRPr="00CE28F9">
        <w:rPr>
          <w:rFonts w:cs="Arial"/>
          <w:szCs w:val="24"/>
        </w:rPr>
        <w:t>transphobic</w:t>
      </w:r>
      <w:proofErr w:type="spellEnd"/>
      <w:r w:rsidRPr="00CE28F9">
        <w:rPr>
          <w:rFonts w:cs="Arial"/>
          <w:szCs w:val="24"/>
        </w:rPr>
        <w:t xml:space="preserve"> harassment by students and staff so that </w:t>
      </w:r>
      <w:proofErr w:type="gramStart"/>
      <w:r w:rsidRPr="00CE28F9">
        <w:rPr>
          <w:rFonts w:cs="Arial"/>
          <w:szCs w:val="24"/>
        </w:rPr>
        <w:t>trans</w:t>
      </w:r>
      <w:proofErr w:type="gramEnd"/>
      <w:r w:rsidRPr="00CE28F9">
        <w:rPr>
          <w:rFonts w:cs="Arial"/>
          <w:szCs w:val="24"/>
        </w:rPr>
        <w:t xml:space="preserve"> students are able to fully participate in learning about these topics and all others. </w:t>
      </w:r>
    </w:p>
    <w:p w14:paraId="4A7BF6CE" w14:textId="4178EF65" w:rsidR="006F2CB2" w:rsidRPr="00CE28F9" w:rsidRDefault="008851F0" w:rsidP="00910FBD">
      <w:pPr>
        <w:pStyle w:val="ListParagraph"/>
        <w:numPr>
          <w:ilvl w:val="0"/>
          <w:numId w:val="4"/>
        </w:numPr>
        <w:jc w:val="left"/>
        <w:rPr>
          <w:rFonts w:cs="Arial"/>
          <w:szCs w:val="24"/>
        </w:rPr>
      </w:pPr>
      <w:r w:rsidRPr="00CE28F9">
        <w:rPr>
          <w:rFonts w:cs="Arial"/>
          <w:szCs w:val="24"/>
        </w:rPr>
        <w:t xml:space="preserve">Finally, universities should remove barriers to </w:t>
      </w:r>
      <w:proofErr w:type="gramStart"/>
      <w:r w:rsidRPr="00CE28F9">
        <w:rPr>
          <w:rFonts w:cs="Arial"/>
          <w:szCs w:val="24"/>
        </w:rPr>
        <w:t>trans</w:t>
      </w:r>
      <w:proofErr w:type="gramEnd"/>
      <w:r w:rsidR="00910FBD">
        <w:rPr>
          <w:rFonts w:cs="Arial"/>
          <w:szCs w:val="24"/>
        </w:rPr>
        <w:t xml:space="preserve"> </w:t>
      </w:r>
      <w:r w:rsidRPr="00CE28F9">
        <w:rPr>
          <w:rFonts w:cs="Arial"/>
          <w:szCs w:val="24"/>
        </w:rPr>
        <w:t xml:space="preserve">students’ </w:t>
      </w:r>
      <w:r w:rsidR="00432361" w:rsidRPr="00CE28F9">
        <w:rPr>
          <w:rFonts w:cs="Arial"/>
          <w:szCs w:val="24"/>
        </w:rPr>
        <w:t xml:space="preserve">learning and </w:t>
      </w:r>
      <w:r w:rsidRPr="00CE28F9">
        <w:rPr>
          <w:rFonts w:cs="Arial"/>
          <w:szCs w:val="24"/>
        </w:rPr>
        <w:t xml:space="preserve">participation that they can solve themselves (such as problems negotiating university administration) and support them through obstacles that are larger than the university (such as barriers to accessing housing and health care, and intersections of gender-identity-based marginalisation with factors such as disability and race). </w:t>
      </w:r>
    </w:p>
    <w:p w14:paraId="372C82AC" w14:textId="77777777" w:rsidR="00C55588" w:rsidRDefault="00C55588" w:rsidP="00C55588">
      <w:pPr>
        <w:rPr>
          <w:rFonts w:cs="Arial"/>
          <w:szCs w:val="24"/>
        </w:rPr>
      </w:pPr>
    </w:p>
    <w:p w14:paraId="5AA60D8C" w14:textId="1156296E" w:rsidR="006F2CB2" w:rsidRDefault="007950A6" w:rsidP="00CE28F9">
      <w:pPr>
        <w:rPr>
          <w:rFonts w:cs="Arial"/>
          <w:szCs w:val="24"/>
        </w:rPr>
      </w:pPr>
      <w:r w:rsidRPr="00CC62FC">
        <w:rPr>
          <w:rFonts w:cs="Arial"/>
          <w:szCs w:val="24"/>
        </w:rPr>
        <w:t xml:space="preserve">This study therefore </w:t>
      </w:r>
      <w:r w:rsidR="00432361" w:rsidRPr="00CC62FC">
        <w:rPr>
          <w:rFonts w:cs="Arial"/>
          <w:szCs w:val="24"/>
        </w:rPr>
        <w:t xml:space="preserve">supports </w:t>
      </w:r>
      <w:r w:rsidRPr="00CC62FC">
        <w:rPr>
          <w:rFonts w:cs="Arial"/>
          <w:szCs w:val="24"/>
        </w:rPr>
        <w:t xml:space="preserve">scholars in History and other disciplines </w:t>
      </w:r>
      <w:r w:rsidR="00432361" w:rsidRPr="00CC62FC">
        <w:rPr>
          <w:rFonts w:cs="Arial"/>
          <w:szCs w:val="24"/>
        </w:rPr>
        <w:t xml:space="preserve">who have called for greater integration of trans/non-binary topics into the curriculum </w:t>
      </w:r>
      <w:r w:rsidRPr="00CC62FC">
        <w:rPr>
          <w:rFonts w:cs="Arial"/>
          <w:szCs w:val="24"/>
        </w:rPr>
        <w:t xml:space="preserve">(Reis 2004; Boucher 2011; Matthews-Jones 2015) </w:t>
      </w:r>
      <w:r w:rsidR="00432361" w:rsidRPr="00CC62FC">
        <w:rPr>
          <w:rFonts w:cs="Arial"/>
          <w:szCs w:val="24"/>
        </w:rPr>
        <w:t xml:space="preserve">by suggesting that students continue to perceive this need as unmet. </w:t>
      </w:r>
      <w:r w:rsidR="006F2CB2" w:rsidRPr="00CC62FC">
        <w:rPr>
          <w:rFonts w:cs="Arial"/>
          <w:szCs w:val="24"/>
        </w:rPr>
        <w:t>Investigating and improving trans</w:t>
      </w:r>
      <w:r w:rsidR="00432361" w:rsidRPr="00CC62FC">
        <w:rPr>
          <w:rFonts w:cs="Arial"/>
          <w:szCs w:val="24"/>
        </w:rPr>
        <w:t>/</w:t>
      </w:r>
      <w:r w:rsidR="006F2CB2" w:rsidRPr="00CC62FC">
        <w:rPr>
          <w:rFonts w:cs="Arial"/>
          <w:szCs w:val="24"/>
        </w:rPr>
        <w:t>non-binary inclusivity in the curriculum</w:t>
      </w:r>
      <w:r w:rsidR="00432361" w:rsidRPr="00CC62FC">
        <w:rPr>
          <w:rFonts w:cs="Arial"/>
          <w:szCs w:val="24"/>
        </w:rPr>
        <w:t>, however, depends on and exposes</w:t>
      </w:r>
      <w:r w:rsidR="006F2CB2" w:rsidRPr="00CC62FC">
        <w:rPr>
          <w:rFonts w:cs="Arial"/>
          <w:szCs w:val="24"/>
        </w:rPr>
        <w:t xml:space="preserve"> an understanding of the politics of curriculum construction</w:t>
      </w:r>
      <w:r w:rsidR="00432361" w:rsidRPr="00CC62FC">
        <w:rPr>
          <w:rFonts w:cs="Arial"/>
          <w:szCs w:val="24"/>
        </w:rPr>
        <w:t xml:space="preserve"> and where agency can be exerted within it</w:t>
      </w:r>
      <w:r w:rsidR="006F2CB2" w:rsidRPr="00CC62FC">
        <w:rPr>
          <w:rFonts w:cs="Arial"/>
          <w:szCs w:val="24"/>
        </w:rPr>
        <w:t xml:space="preserve">. </w:t>
      </w:r>
      <w:r w:rsidR="00432361" w:rsidRPr="00CC62FC">
        <w:rPr>
          <w:rFonts w:cs="Arial"/>
          <w:szCs w:val="24"/>
        </w:rPr>
        <w:t xml:space="preserve">Early career </w:t>
      </w:r>
      <w:r w:rsidR="00CE28F9">
        <w:rPr>
          <w:rFonts w:cs="Arial"/>
          <w:szCs w:val="24"/>
        </w:rPr>
        <w:t xml:space="preserve">staff </w:t>
      </w:r>
      <w:r w:rsidR="00432361" w:rsidRPr="00CC62FC">
        <w:rPr>
          <w:rFonts w:cs="Arial"/>
          <w:szCs w:val="24"/>
        </w:rPr>
        <w:t xml:space="preserve">may only be able to influence the curriculum at module </w:t>
      </w:r>
      <w:r w:rsidR="00CE28F9">
        <w:rPr>
          <w:rFonts w:cs="Arial"/>
          <w:szCs w:val="24"/>
        </w:rPr>
        <w:t xml:space="preserve">level, and the most </w:t>
      </w:r>
      <w:proofErr w:type="spellStart"/>
      <w:r w:rsidR="00CE28F9">
        <w:rPr>
          <w:rFonts w:cs="Arial"/>
          <w:szCs w:val="24"/>
        </w:rPr>
        <w:t>casualised</w:t>
      </w:r>
      <w:proofErr w:type="spellEnd"/>
      <w:r w:rsidR="00CE28F9">
        <w:rPr>
          <w:rFonts w:cs="Arial"/>
          <w:szCs w:val="24"/>
        </w:rPr>
        <w:t xml:space="preserve"> staff may only be able to influence it at the </w:t>
      </w:r>
      <w:r w:rsidR="00432361" w:rsidRPr="00CC62FC">
        <w:rPr>
          <w:rFonts w:cs="Arial"/>
          <w:szCs w:val="24"/>
        </w:rPr>
        <w:t>level</w:t>
      </w:r>
      <w:r w:rsidR="00CE28F9">
        <w:rPr>
          <w:rFonts w:cs="Arial"/>
          <w:szCs w:val="24"/>
        </w:rPr>
        <w:t xml:space="preserve"> of planning seminar activities or supplying supplementary reading to accompany a fixed syllabus</w:t>
      </w:r>
      <w:r w:rsidR="00432361" w:rsidRPr="00CC62FC">
        <w:rPr>
          <w:rFonts w:cs="Arial"/>
          <w:szCs w:val="24"/>
        </w:rPr>
        <w:t>; learning design is both facilitated and constrained by what resources libraries can or might purchase; when students are not equipped to think beyond biologically determinist concepts of gender at programme level, as they generally are not, the task of teaching trans/non-binary topics at module level is much more difficult</w:t>
      </w:r>
      <w:r w:rsidR="00CE28F9">
        <w:rPr>
          <w:rFonts w:cs="Arial"/>
          <w:szCs w:val="24"/>
        </w:rPr>
        <w:t xml:space="preserve"> across the curriculum</w:t>
      </w:r>
      <w:r w:rsidR="00432361" w:rsidRPr="00CC62FC">
        <w:rPr>
          <w:rFonts w:cs="Arial"/>
          <w:szCs w:val="24"/>
        </w:rPr>
        <w:t xml:space="preserve">. There are nevertheless many opportunities to </w:t>
      </w:r>
      <w:r w:rsidR="003D0518" w:rsidRPr="00CC62FC">
        <w:rPr>
          <w:rFonts w:cs="Arial"/>
          <w:szCs w:val="24"/>
        </w:rPr>
        <w:t xml:space="preserve">address these matters </w:t>
      </w:r>
      <w:r w:rsidR="00432361" w:rsidRPr="00CC62FC">
        <w:rPr>
          <w:rFonts w:cs="Arial"/>
          <w:szCs w:val="24"/>
        </w:rPr>
        <w:t xml:space="preserve">in ways that show how </w:t>
      </w:r>
      <w:r w:rsidR="003D0518" w:rsidRPr="00CC62FC">
        <w:rPr>
          <w:rFonts w:cs="Arial"/>
          <w:szCs w:val="24"/>
        </w:rPr>
        <w:t xml:space="preserve">they </w:t>
      </w:r>
      <w:r w:rsidR="00432361" w:rsidRPr="00CC62FC">
        <w:rPr>
          <w:rFonts w:cs="Arial"/>
          <w:szCs w:val="24"/>
        </w:rPr>
        <w:t>intersect with oppressions based on race, class, nationality and disability (Boucher 2011)</w:t>
      </w:r>
      <w:r w:rsidR="006F2CB2" w:rsidRPr="00CC62FC">
        <w:rPr>
          <w:rFonts w:cs="Arial"/>
          <w:szCs w:val="24"/>
        </w:rPr>
        <w:t>.</w:t>
      </w:r>
      <w:r w:rsidR="007032CE" w:rsidRPr="00CC62FC">
        <w:rPr>
          <w:rFonts w:cs="Arial"/>
          <w:szCs w:val="24"/>
        </w:rPr>
        <w:t xml:space="preserve"> </w:t>
      </w:r>
      <w:r w:rsidR="00432361" w:rsidRPr="00CC62FC">
        <w:rPr>
          <w:rFonts w:cs="Arial"/>
          <w:szCs w:val="24"/>
        </w:rPr>
        <w:t xml:space="preserve">Designing an inclusive curriculum will not in itself undo the structural barriers to trans/non-binary students’ participation and achievement at university, but can tackle the in-class obstacles to their learning – and equip all graduates to perceive and challenge wider </w:t>
      </w:r>
      <w:r w:rsidR="00CE28F9">
        <w:rPr>
          <w:rFonts w:cs="Arial"/>
          <w:szCs w:val="24"/>
        </w:rPr>
        <w:t xml:space="preserve">structures of </w:t>
      </w:r>
      <w:proofErr w:type="spellStart"/>
      <w:r w:rsidR="00CE28F9">
        <w:rPr>
          <w:rFonts w:cs="Arial"/>
          <w:szCs w:val="24"/>
        </w:rPr>
        <w:t>cissexism</w:t>
      </w:r>
      <w:proofErr w:type="spellEnd"/>
      <w:r w:rsidR="00CE28F9">
        <w:rPr>
          <w:rFonts w:cs="Arial"/>
          <w:szCs w:val="24"/>
        </w:rPr>
        <w:t xml:space="preserve"> and </w:t>
      </w:r>
      <w:proofErr w:type="spellStart"/>
      <w:r w:rsidR="00CE28F9">
        <w:rPr>
          <w:rFonts w:cs="Arial"/>
          <w:szCs w:val="24"/>
        </w:rPr>
        <w:t>transphobia</w:t>
      </w:r>
      <w:proofErr w:type="spellEnd"/>
      <w:r w:rsidR="00CE28F9">
        <w:rPr>
          <w:rFonts w:cs="Arial"/>
          <w:szCs w:val="24"/>
        </w:rPr>
        <w:t xml:space="preserve"> </w:t>
      </w:r>
      <w:r w:rsidR="003D0518" w:rsidRPr="00CC62FC">
        <w:rPr>
          <w:rFonts w:cs="Arial"/>
          <w:szCs w:val="24"/>
        </w:rPr>
        <w:t xml:space="preserve">in </w:t>
      </w:r>
      <w:r w:rsidR="00CE28F9">
        <w:rPr>
          <w:rFonts w:cs="Arial"/>
          <w:szCs w:val="24"/>
        </w:rPr>
        <w:t xml:space="preserve">their private </w:t>
      </w:r>
      <w:r w:rsidR="003D0518" w:rsidRPr="00CC62FC">
        <w:rPr>
          <w:rFonts w:cs="Arial"/>
          <w:szCs w:val="24"/>
        </w:rPr>
        <w:t>and professional lives</w:t>
      </w:r>
      <w:r w:rsidR="007032CE" w:rsidRPr="00CC62FC">
        <w:rPr>
          <w:rFonts w:cs="Arial"/>
          <w:szCs w:val="24"/>
        </w:rPr>
        <w:t>.</w:t>
      </w:r>
    </w:p>
    <w:p w14:paraId="31801C28" w14:textId="77777777" w:rsidR="00CE28F9" w:rsidRDefault="00CE28F9" w:rsidP="00CE28F9">
      <w:pPr>
        <w:rPr>
          <w:rFonts w:cs="Arial"/>
          <w:szCs w:val="24"/>
        </w:rPr>
      </w:pPr>
    </w:p>
    <w:p w14:paraId="1AC4F10B" w14:textId="49A966AC" w:rsidR="00CE28F9" w:rsidRPr="00CE28F9" w:rsidRDefault="00CE28F9" w:rsidP="00CE28F9">
      <w:pPr>
        <w:rPr>
          <w:rFonts w:cs="Arial"/>
          <w:b/>
          <w:bCs/>
          <w:szCs w:val="24"/>
        </w:rPr>
      </w:pPr>
      <w:r w:rsidRPr="00CE28F9">
        <w:rPr>
          <w:rFonts w:cs="Arial"/>
          <w:b/>
          <w:bCs/>
          <w:szCs w:val="24"/>
        </w:rPr>
        <w:t>Resources</w:t>
      </w:r>
    </w:p>
    <w:p w14:paraId="105FE38E" w14:textId="77777777" w:rsidR="00CE28F9" w:rsidRDefault="00CE28F9" w:rsidP="00CE28F9">
      <w:pPr>
        <w:rPr>
          <w:rFonts w:cs="Arial"/>
          <w:szCs w:val="24"/>
        </w:rPr>
      </w:pPr>
    </w:p>
    <w:p w14:paraId="17DFF9DF" w14:textId="2FDB240D" w:rsidR="000B2740" w:rsidRDefault="000B2740" w:rsidP="00CE28F9">
      <w:pPr>
        <w:rPr>
          <w:rFonts w:cs="Arial"/>
          <w:szCs w:val="24"/>
        </w:rPr>
      </w:pPr>
      <w:r>
        <w:rPr>
          <w:rFonts w:cs="Arial"/>
          <w:szCs w:val="24"/>
        </w:rPr>
        <w:t xml:space="preserve">Equality Challenge Unit: </w:t>
      </w:r>
      <w:hyperlink r:id="rId9" w:history="1">
        <w:r w:rsidRPr="00CB53BA">
          <w:rPr>
            <w:rStyle w:val="Hyperlink"/>
            <w:rFonts w:cs="Arial"/>
            <w:szCs w:val="24"/>
          </w:rPr>
          <w:t>http://www.ecu.ac.uk/guidance-resources/inclusive-environment/providing-support/trans-people/</w:t>
        </w:r>
      </w:hyperlink>
    </w:p>
    <w:p w14:paraId="0D93DACE" w14:textId="0681A52D" w:rsidR="00CE28F9" w:rsidRDefault="00CE28F9" w:rsidP="00CE28F9">
      <w:pPr>
        <w:rPr>
          <w:rFonts w:cs="Arial"/>
          <w:szCs w:val="24"/>
        </w:rPr>
      </w:pPr>
      <w:r>
        <w:rPr>
          <w:rFonts w:cs="Arial"/>
          <w:szCs w:val="24"/>
        </w:rPr>
        <w:t xml:space="preserve">Gendered Intelligence (provides support for young </w:t>
      </w:r>
      <w:proofErr w:type="gramStart"/>
      <w:r>
        <w:rPr>
          <w:rFonts w:cs="Arial"/>
          <w:szCs w:val="24"/>
        </w:rPr>
        <w:t>trans</w:t>
      </w:r>
      <w:proofErr w:type="gramEnd"/>
      <w:r>
        <w:rPr>
          <w:rFonts w:cs="Arial"/>
          <w:szCs w:val="24"/>
        </w:rPr>
        <w:t xml:space="preserve"> people and training for staff working with trans youth, including universities): </w:t>
      </w:r>
      <w:hyperlink r:id="rId10" w:history="1">
        <w:r w:rsidRPr="00CB53BA">
          <w:rPr>
            <w:rStyle w:val="Hyperlink"/>
            <w:rFonts w:cs="Arial"/>
            <w:szCs w:val="24"/>
          </w:rPr>
          <w:t>http://genderedintelligence.co.uk/professionals/education</w:t>
        </w:r>
      </w:hyperlink>
      <w:r>
        <w:rPr>
          <w:rFonts w:cs="Arial"/>
          <w:szCs w:val="24"/>
        </w:rPr>
        <w:t xml:space="preserve"> </w:t>
      </w:r>
    </w:p>
    <w:p w14:paraId="482E7195" w14:textId="0502DCF8" w:rsidR="00CE28F9" w:rsidRDefault="00CE28F9" w:rsidP="000B2740">
      <w:pPr>
        <w:rPr>
          <w:rFonts w:cs="Arial"/>
          <w:szCs w:val="24"/>
        </w:rPr>
      </w:pPr>
      <w:r>
        <w:rPr>
          <w:rFonts w:cs="Arial"/>
          <w:szCs w:val="24"/>
        </w:rPr>
        <w:t>Gender Identity Research and Education Society</w:t>
      </w:r>
      <w:r w:rsidR="000B2740">
        <w:rPr>
          <w:rFonts w:cs="Arial"/>
          <w:szCs w:val="24"/>
        </w:rPr>
        <w:t xml:space="preserve"> (advises organisations and individuals): </w:t>
      </w:r>
      <w:hyperlink r:id="rId11" w:anchor="Support%20for%20Educators" w:history="1">
        <w:r w:rsidR="000B2740" w:rsidRPr="00CB53BA">
          <w:rPr>
            <w:rStyle w:val="Hyperlink"/>
            <w:rFonts w:cs="Arial"/>
            <w:szCs w:val="24"/>
          </w:rPr>
          <w:t>http://www.gires.org.uk/whatwedo#Support%20for%20Educators</w:t>
        </w:r>
      </w:hyperlink>
      <w:r w:rsidR="000B2740">
        <w:rPr>
          <w:rFonts w:cs="Arial"/>
          <w:szCs w:val="24"/>
        </w:rPr>
        <w:t xml:space="preserve"> </w:t>
      </w:r>
    </w:p>
    <w:p w14:paraId="71AAFC4F" w14:textId="561CECF0" w:rsidR="000B2740" w:rsidRDefault="000B2740" w:rsidP="000B2740">
      <w:pPr>
        <w:rPr>
          <w:rFonts w:cs="Arial"/>
          <w:szCs w:val="24"/>
        </w:rPr>
      </w:pPr>
      <w:r>
        <w:rPr>
          <w:rFonts w:cs="Arial"/>
          <w:szCs w:val="24"/>
        </w:rPr>
        <w:t xml:space="preserve">National Trans Youth Network (connects UK </w:t>
      </w:r>
      <w:proofErr w:type="gramStart"/>
      <w:r>
        <w:rPr>
          <w:rFonts w:cs="Arial"/>
          <w:szCs w:val="24"/>
        </w:rPr>
        <w:t>trans</w:t>
      </w:r>
      <w:proofErr w:type="gramEnd"/>
      <w:r>
        <w:rPr>
          <w:rFonts w:cs="Arial"/>
          <w:szCs w:val="24"/>
        </w:rPr>
        <w:t xml:space="preserve"> youth organisations): </w:t>
      </w:r>
      <w:hyperlink r:id="rId12" w:history="1">
        <w:r w:rsidRPr="00CB53BA">
          <w:rPr>
            <w:rStyle w:val="Hyperlink"/>
            <w:rFonts w:cs="Arial"/>
            <w:szCs w:val="24"/>
          </w:rPr>
          <w:t>http://ntyn.org.uk</w:t>
        </w:r>
      </w:hyperlink>
      <w:r>
        <w:rPr>
          <w:rFonts w:cs="Arial"/>
          <w:szCs w:val="24"/>
        </w:rPr>
        <w:t xml:space="preserve"> </w:t>
      </w:r>
    </w:p>
    <w:p w14:paraId="02D4B525" w14:textId="7C3DD398" w:rsidR="00CE28F9" w:rsidRDefault="00CE28F9" w:rsidP="00CE28F9">
      <w:pPr>
        <w:rPr>
          <w:rFonts w:cs="Arial"/>
          <w:szCs w:val="24"/>
        </w:rPr>
      </w:pPr>
      <w:r>
        <w:rPr>
          <w:rFonts w:cs="Arial"/>
          <w:szCs w:val="24"/>
        </w:rPr>
        <w:t xml:space="preserve">National Union of Students LGBT Campaign: </w:t>
      </w:r>
      <w:hyperlink r:id="rId13" w:history="1">
        <w:r w:rsidRPr="00CB53BA">
          <w:rPr>
            <w:rStyle w:val="Hyperlink"/>
            <w:rFonts w:cs="Arial"/>
            <w:szCs w:val="24"/>
          </w:rPr>
          <w:t>http://www.nus.org.uk/en/who-we-are/how-we-work/lesbian-gay-bisexual-and-trans/</w:t>
        </w:r>
      </w:hyperlink>
      <w:r>
        <w:rPr>
          <w:rFonts w:cs="Arial"/>
          <w:szCs w:val="24"/>
        </w:rPr>
        <w:t xml:space="preserve"> (NUS voted in April 2016 to establish a specific Trans Campaign)</w:t>
      </w:r>
    </w:p>
    <w:p w14:paraId="3CA30ECF" w14:textId="15509775" w:rsidR="000B2740" w:rsidRDefault="000B2740" w:rsidP="00CE28F9">
      <w:pPr>
        <w:rPr>
          <w:rFonts w:cs="Arial"/>
          <w:szCs w:val="24"/>
        </w:rPr>
      </w:pPr>
      <w:r>
        <w:rPr>
          <w:rFonts w:cs="Arial"/>
          <w:szCs w:val="24"/>
        </w:rPr>
        <w:t xml:space="preserve">Scottish Transgender Alliance: </w:t>
      </w:r>
      <w:hyperlink r:id="rId14" w:history="1">
        <w:r w:rsidRPr="00CB53BA">
          <w:rPr>
            <w:rStyle w:val="Hyperlink"/>
            <w:rFonts w:cs="Arial"/>
            <w:szCs w:val="24"/>
          </w:rPr>
          <w:t>http://www.scottishtrans.org/resources/</w:t>
        </w:r>
      </w:hyperlink>
    </w:p>
    <w:p w14:paraId="4F0F270B" w14:textId="2AACDBA5" w:rsidR="000B2740" w:rsidRDefault="000B2740" w:rsidP="00CE28F9">
      <w:pPr>
        <w:rPr>
          <w:rFonts w:cs="Arial"/>
          <w:szCs w:val="24"/>
        </w:rPr>
      </w:pPr>
      <w:r>
        <w:rPr>
          <w:rFonts w:cs="Arial"/>
          <w:szCs w:val="24"/>
        </w:rPr>
        <w:t xml:space="preserve">Transgender Northern Ireland: </w:t>
      </w:r>
      <w:hyperlink r:id="rId15" w:history="1">
        <w:r w:rsidRPr="00CB53BA">
          <w:rPr>
            <w:rStyle w:val="Hyperlink"/>
            <w:rFonts w:cs="Arial"/>
            <w:szCs w:val="24"/>
          </w:rPr>
          <w:t>https://transgenderni.com/</w:t>
        </w:r>
      </w:hyperlink>
    </w:p>
    <w:p w14:paraId="01452FF0" w14:textId="1359B242" w:rsidR="00CE28F9" w:rsidRPr="00CC62FC" w:rsidRDefault="00CE28F9" w:rsidP="00CE28F9">
      <w:pPr>
        <w:rPr>
          <w:rFonts w:cs="Arial"/>
          <w:szCs w:val="24"/>
        </w:rPr>
      </w:pPr>
      <w:r>
        <w:rPr>
          <w:rFonts w:cs="Arial"/>
          <w:szCs w:val="24"/>
        </w:rPr>
        <w:t xml:space="preserve">UK Trans Info resources for schools and universities: </w:t>
      </w:r>
      <w:hyperlink r:id="rId16" w:history="1">
        <w:r w:rsidRPr="00CB53BA">
          <w:rPr>
            <w:rStyle w:val="Hyperlink"/>
            <w:rFonts w:cs="Arial"/>
            <w:szCs w:val="24"/>
          </w:rPr>
          <w:t>http://uktrans.info/transition/39-resources-for-schools</w:t>
        </w:r>
      </w:hyperlink>
      <w:r>
        <w:rPr>
          <w:rFonts w:cs="Arial"/>
          <w:szCs w:val="24"/>
        </w:rPr>
        <w:t xml:space="preserve"> </w:t>
      </w:r>
    </w:p>
    <w:p w14:paraId="3F538DE3" w14:textId="77777777" w:rsidR="00FC62A9" w:rsidRPr="00CC62FC" w:rsidRDefault="00FC62A9" w:rsidP="00EC670E">
      <w:pPr>
        <w:rPr>
          <w:rFonts w:cs="Arial"/>
          <w:szCs w:val="24"/>
        </w:rPr>
      </w:pPr>
    </w:p>
    <w:p w14:paraId="177F4B60" w14:textId="5C49A692" w:rsidR="00125302" w:rsidRPr="00CC62FC" w:rsidRDefault="00125302" w:rsidP="00E12D05">
      <w:pPr>
        <w:rPr>
          <w:b/>
          <w:bCs/>
          <w:szCs w:val="24"/>
        </w:rPr>
      </w:pPr>
      <w:r w:rsidRPr="00CC62FC">
        <w:rPr>
          <w:b/>
          <w:bCs/>
          <w:szCs w:val="24"/>
        </w:rPr>
        <w:t>References</w:t>
      </w:r>
    </w:p>
    <w:p w14:paraId="097B5A73" w14:textId="77777777" w:rsidR="00125302" w:rsidRPr="00CC62FC" w:rsidRDefault="00125302" w:rsidP="00E12D05">
      <w:pPr>
        <w:rPr>
          <w:szCs w:val="24"/>
        </w:rPr>
      </w:pPr>
    </w:p>
    <w:p w14:paraId="1621C725" w14:textId="77777777" w:rsidR="00663BBC" w:rsidRPr="00CC62FC" w:rsidRDefault="00663BBC" w:rsidP="00663BBC">
      <w:pPr>
        <w:rPr>
          <w:rFonts w:cs="Arial"/>
          <w:szCs w:val="20"/>
        </w:rPr>
      </w:pPr>
      <w:proofErr w:type="spellStart"/>
      <w:r w:rsidRPr="00CC62FC">
        <w:t>Acciari</w:t>
      </w:r>
      <w:proofErr w:type="spellEnd"/>
      <w:r w:rsidRPr="00CC62FC">
        <w:t xml:space="preserve">, Louise (2014) </w:t>
      </w:r>
      <w:r w:rsidRPr="00CC62FC">
        <w:rPr>
          <w:i/>
          <w:iCs/>
        </w:rPr>
        <w:t>Education beyond the straight and narrow: LGBT students’ experience in higher education</w:t>
      </w:r>
      <w:r w:rsidRPr="00CC62FC">
        <w:t xml:space="preserve">. London: NUS. Available online: </w:t>
      </w:r>
      <w:hyperlink r:id="rId17" w:history="1">
        <w:r w:rsidRPr="00CC62FC">
          <w:rPr>
            <w:rStyle w:val="Hyperlink"/>
          </w:rPr>
          <w:t>http://web.archive.org/web/20140516152759/http://www.nus.org.uk/Global/lgbt-research.pdf</w:t>
        </w:r>
      </w:hyperlink>
      <w:r w:rsidRPr="00CC62FC">
        <w:t xml:space="preserve"> [accessed 27/11/2015].</w:t>
      </w:r>
    </w:p>
    <w:p w14:paraId="7C46AC01" w14:textId="2FE754CC" w:rsidR="00D124C0" w:rsidRDefault="00D124C0" w:rsidP="00887965">
      <w:pPr>
        <w:rPr>
          <w:szCs w:val="24"/>
        </w:rPr>
      </w:pPr>
      <w:r w:rsidRPr="00CC62FC">
        <w:rPr>
          <w:szCs w:val="24"/>
        </w:rPr>
        <w:t xml:space="preserve">Ahmed, Sara (2012) </w:t>
      </w:r>
      <w:proofErr w:type="gramStart"/>
      <w:r w:rsidRPr="00CC62FC">
        <w:rPr>
          <w:i/>
          <w:iCs/>
          <w:szCs w:val="24"/>
        </w:rPr>
        <w:t>On</w:t>
      </w:r>
      <w:proofErr w:type="gramEnd"/>
      <w:r w:rsidRPr="00CC62FC">
        <w:rPr>
          <w:i/>
          <w:iCs/>
          <w:szCs w:val="24"/>
        </w:rPr>
        <w:t xml:space="preserve"> being included: racism and diversity in institutional life</w:t>
      </w:r>
      <w:r w:rsidRPr="00CC62FC">
        <w:rPr>
          <w:szCs w:val="24"/>
        </w:rPr>
        <w:t>. Durham, NC: Duke University Press.</w:t>
      </w:r>
    </w:p>
    <w:p w14:paraId="20C40F38" w14:textId="07952C76" w:rsidR="008143C3" w:rsidRPr="008143C3" w:rsidRDefault="008143C3" w:rsidP="00887965">
      <w:pPr>
        <w:rPr>
          <w:szCs w:val="24"/>
        </w:rPr>
      </w:pPr>
      <w:proofErr w:type="spellStart"/>
      <w:r>
        <w:rPr>
          <w:szCs w:val="24"/>
        </w:rPr>
        <w:t>Aresti</w:t>
      </w:r>
      <w:proofErr w:type="spellEnd"/>
      <w:r>
        <w:rPr>
          <w:szCs w:val="24"/>
        </w:rPr>
        <w:t xml:space="preserve">, </w:t>
      </w:r>
      <w:proofErr w:type="spellStart"/>
      <w:r>
        <w:rPr>
          <w:szCs w:val="24"/>
        </w:rPr>
        <w:t>Nerea</w:t>
      </w:r>
      <w:proofErr w:type="spellEnd"/>
      <w:r>
        <w:rPr>
          <w:szCs w:val="24"/>
        </w:rPr>
        <w:t xml:space="preserve"> (2007) ‘</w:t>
      </w:r>
      <w:proofErr w:type="gramStart"/>
      <w:r>
        <w:t>The</w:t>
      </w:r>
      <w:proofErr w:type="gramEnd"/>
      <w:r>
        <w:t xml:space="preserve"> gendered identities of the “Lieutenant Nun”: rethinking the story of a female warrior in early modern Spain’. </w:t>
      </w:r>
      <w:r>
        <w:rPr>
          <w:i/>
          <w:iCs/>
        </w:rPr>
        <w:t>Gender and History</w:t>
      </w:r>
      <w:r>
        <w:t xml:space="preserve"> 19 (3): 401–18. </w:t>
      </w:r>
    </w:p>
    <w:p w14:paraId="1E97AC44" w14:textId="1799F9AC" w:rsidR="00887965" w:rsidRPr="00CC62FC" w:rsidRDefault="00887965" w:rsidP="00887965">
      <w:r w:rsidRPr="00CC62FC">
        <w:rPr>
          <w:szCs w:val="24"/>
        </w:rPr>
        <w:t xml:space="preserve">Bauer, Greta R., Hammond, Rebecca, Travers, Robb, </w:t>
      </w:r>
      <w:proofErr w:type="spellStart"/>
      <w:r w:rsidRPr="00CC62FC">
        <w:rPr>
          <w:szCs w:val="24"/>
        </w:rPr>
        <w:t>Kaay</w:t>
      </w:r>
      <w:proofErr w:type="spellEnd"/>
      <w:r w:rsidRPr="00CC62FC">
        <w:rPr>
          <w:szCs w:val="24"/>
        </w:rPr>
        <w:t xml:space="preserve">, Matthias, </w:t>
      </w:r>
      <w:proofErr w:type="spellStart"/>
      <w:r w:rsidRPr="00CC62FC">
        <w:rPr>
          <w:szCs w:val="24"/>
        </w:rPr>
        <w:t>Hohenadel</w:t>
      </w:r>
      <w:proofErr w:type="spellEnd"/>
      <w:r w:rsidRPr="00CC62FC">
        <w:rPr>
          <w:szCs w:val="24"/>
        </w:rPr>
        <w:t xml:space="preserve">, Karin M., &amp; Boyce, Michelle (2009) </w:t>
      </w:r>
      <w:r w:rsidRPr="00CC62FC">
        <w:t xml:space="preserve">‘I don’t think this is theoretical; this is our lives’: how erasure impacts health care for transgender people. </w:t>
      </w:r>
      <w:r w:rsidRPr="00CC62FC">
        <w:rPr>
          <w:i/>
          <w:iCs/>
        </w:rPr>
        <w:t>Journal of the Association of Nurses in AIDS Care</w:t>
      </w:r>
      <w:r w:rsidRPr="00CC62FC">
        <w:t xml:space="preserve">, 20(5), 348–61. </w:t>
      </w:r>
    </w:p>
    <w:p w14:paraId="6868FDCE" w14:textId="3FF8B6F7" w:rsidR="00302D4F" w:rsidRPr="00CC62FC" w:rsidRDefault="00302D4F" w:rsidP="00887965">
      <w:pPr>
        <w:rPr>
          <w:szCs w:val="24"/>
        </w:rPr>
      </w:pPr>
      <w:r w:rsidRPr="00CC62FC">
        <w:t xml:space="preserve">Beauchamp, Toby (2009) Artful concealment and strategic visibility: transgender bodies and U.S. state surveillance after 9/11. </w:t>
      </w:r>
      <w:r w:rsidRPr="00CC62FC">
        <w:rPr>
          <w:i/>
          <w:iCs/>
        </w:rPr>
        <w:t>Surveillance and Society</w:t>
      </w:r>
      <w:r w:rsidRPr="00CC62FC">
        <w:t>, 6(4), 356–66.</w:t>
      </w:r>
    </w:p>
    <w:p w14:paraId="0AA7FB34" w14:textId="254B4CE9" w:rsidR="007D1813" w:rsidRPr="00CC62FC" w:rsidRDefault="007D1813" w:rsidP="00125302">
      <w:pPr>
        <w:rPr>
          <w:szCs w:val="24"/>
        </w:rPr>
      </w:pPr>
      <w:r w:rsidRPr="00CC62FC">
        <w:rPr>
          <w:szCs w:val="24"/>
        </w:rPr>
        <w:t xml:space="preserve">Beauchamp, Toby, &amp; </w:t>
      </w:r>
      <w:proofErr w:type="spellStart"/>
      <w:r w:rsidRPr="00CC62FC">
        <w:rPr>
          <w:szCs w:val="24"/>
        </w:rPr>
        <w:t>d’Harlingue</w:t>
      </w:r>
      <w:proofErr w:type="spellEnd"/>
      <w:r w:rsidRPr="00CC62FC">
        <w:rPr>
          <w:szCs w:val="24"/>
        </w:rPr>
        <w:t xml:space="preserve">, Benjamin (2012) </w:t>
      </w:r>
      <w:proofErr w:type="gramStart"/>
      <w:r w:rsidRPr="00CC62FC">
        <w:t>Beyond</w:t>
      </w:r>
      <w:proofErr w:type="gramEnd"/>
      <w:r w:rsidRPr="00CC62FC">
        <w:t xml:space="preserve"> additions and exceptions: the category of transgender and new pedagogical approaches for women’s studies. </w:t>
      </w:r>
      <w:r w:rsidRPr="00CC62FC">
        <w:rPr>
          <w:i/>
          <w:iCs/>
        </w:rPr>
        <w:t>Feminist Formations</w:t>
      </w:r>
      <w:r w:rsidRPr="00CC62FC">
        <w:t xml:space="preserve">, 24(2), 25–51. </w:t>
      </w:r>
    </w:p>
    <w:p w14:paraId="073F61F0" w14:textId="1D470DC8" w:rsidR="007950A6" w:rsidRPr="00CC62FC" w:rsidRDefault="007950A6" w:rsidP="00125302">
      <w:pPr>
        <w:rPr>
          <w:szCs w:val="24"/>
        </w:rPr>
      </w:pPr>
      <w:r w:rsidRPr="00CC62FC">
        <w:rPr>
          <w:szCs w:val="24"/>
        </w:rPr>
        <w:t xml:space="preserve">Boucher, Michel J. (2011) </w:t>
      </w:r>
      <w:r w:rsidRPr="00CC62FC">
        <w:t xml:space="preserve">Teaching ‘trans issues’: an intersectional and systems-based approach. </w:t>
      </w:r>
      <w:r w:rsidRPr="00CC62FC">
        <w:rPr>
          <w:i/>
          <w:iCs/>
        </w:rPr>
        <w:t>New Directions for Teaching and Learning</w:t>
      </w:r>
      <w:r w:rsidRPr="00CC62FC">
        <w:t xml:space="preserve">, 125, 65–75. </w:t>
      </w:r>
    </w:p>
    <w:p w14:paraId="6C5098FD" w14:textId="59C82B41" w:rsidR="002F7090" w:rsidRPr="00CC62FC" w:rsidRDefault="002F7090" w:rsidP="00125302">
      <w:pPr>
        <w:rPr>
          <w:szCs w:val="24"/>
        </w:rPr>
      </w:pPr>
      <w:r w:rsidRPr="00CC62FC">
        <w:rPr>
          <w:szCs w:val="24"/>
        </w:rPr>
        <w:t xml:space="preserve">Boyd, Nan </w:t>
      </w:r>
      <w:proofErr w:type="spellStart"/>
      <w:r w:rsidRPr="00CC62FC">
        <w:rPr>
          <w:szCs w:val="24"/>
        </w:rPr>
        <w:t>Alamilla</w:t>
      </w:r>
      <w:proofErr w:type="spellEnd"/>
      <w:r w:rsidRPr="00CC62FC">
        <w:rPr>
          <w:szCs w:val="24"/>
        </w:rPr>
        <w:t xml:space="preserve"> (1999) </w:t>
      </w:r>
      <w:proofErr w:type="gramStart"/>
      <w:r w:rsidRPr="00CC62FC">
        <w:t>The</w:t>
      </w:r>
      <w:proofErr w:type="gramEnd"/>
      <w:r w:rsidRPr="00CC62FC">
        <w:t xml:space="preserve"> materiality of gender: looking for lesbian bodies in transgender history. </w:t>
      </w:r>
      <w:r w:rsidRPr="00CC62FC">
        <w:rPr>
          <w:i/>
          <w:iCs/>
        </w:rPr>
        <w:t>Journal of Lesbian Studies</w:t>
      </w:r>
      <w:r w:rsidRPr="00CC62FC">
        <w:t>, 3(3), 73–81.</w:t>
      </w:r>
    </w:p>
    <w:p w14:paraId="72C77087" w14:textId="5DEF1F76" w:rsidR="00573EAF" w:rsidRPr="00CC62FC" w:rsidRDefault="00573EAF" w:rsidP="00125302">
      <w:pPr>
        <w:rPr>
          <w:szCs w:val="24"/>
        </w:rPr>
      </w:pPr>
      <w:r w:rsidRPr="00CC62FC">
        <w:rPr>
          <w:szCs w:val="24"/>
        </w:rPr>
        <w:t xml:space="preserve">Brookfield, Stephen (1993) Self-directed learning, political clarity, and the critical practice of adult education, </w:t>
      </w:r>
      <w:r w:rsidRPr="00CC62FC">
        <w:rPr>
          <w:i/>
          <w:iCs/>
          <w:szCs w:val="24"/>
        </w:rPr>
        <w:t>Adult Education Quarterly</w:t>
      </w:r>
      <w:r w:rsidRPr="00CC62FC">
        <w:rPr>
          <w:szCs w:val="24"/>
        </w:rPr>
        <w:t>, 43(4), 227–42.</w:t>
      </w:r>
    </w:p>
    <w:p w14:paraId="3BC28678" w14:textId="2C3968FA" w:rsidR="00910BC3" w:rsidRPr="00CC62FC" w:rsidRDefault="00910BC3" w:rsidP="00B37304">
      <w:pPr>
        <w:rPr>
          <w:szCs w:val="24"/>
        </w:rPr>
      </w:pPr>
      <w:r w:rsidRPr="00CC62FC">
        <w:rPr>
          <w:szCs w:val="24"/>
        </w:rPr>
        <w:t xml:space="preserve">Butler, Judith (1990) </w:t>
      </w:r>
      <w:r w:rsidRPr="00CC62FC">
        <w:rPr>
          <w:i/>
          <w:iCs/>
          <w:szCs w:val="24"/>
        </w:rPr>
        <w:t>Gender trouble: feminism and the subversion of identity</w:t>
      </w:r>
      <w:r w:rsidRPr="00CC62FC">
        <w:rPr>
          <w:szCs w:val="24"/>
        </w:rPr>
        <w:t xml:space="preserve">. London and New York: </w:t>
      </w:r>
      <w:proofErr w:type="spellStart"/>
      <w:r w:rsidRPr="00CC62FC">
        <w:rPr>
          <w:szCs w:val="24"/>
        </w:rPr>
        <w:t>Routledge</w:t>
      </w:r>
      <w:proofErr w:type="spellEnd"/>
      <w:r w:rsidRPr="00CC62FC">
        <w:rPr>
          <w:szCs w:val="24"/>
        </w:rPr>
        <w:t xml:space="preserve">. </w:t>
      </w:r>
    </w:p>
    <w:p w14:paraId="608F8561" w14:textId="6F7ECC0C" w:rsidR="007D1813" w:rsidRPr="00CC62FC" w:rsidRDefault="007D1813" w:rsidP="00B37304">
      <w:pPr>
        <w:rPr>
          <w:szCs w:val="24"/>
        </w:rPr>
      </w:pPr>
      <w:r w:rsidRPr="00CC62FC">
        <w:rPr>
          <w:szCs w:val="24"/>
        </w:rPr>
        <w:t xml:space="preserve">Cleaver, Elizabeth, </w:t>
      </w:r>
      <w:proofErr w:type="spellStart"/>
      <w:r w:rsidRPr="00CC62FC">
        <w:rPr>
          <w:szCs w:val="24"/>
        </w:rPr>
        <w:t>Lintern</w:t>
      </w:r>
      <w:proofErr w:type="spellEnd"/>
      <w:r w:rsidRPr="00CC62FC">
        <w:rPr>
          <w:szCs w:val="24"/>
        </w:rPr>
        <w:t xml:space="preserve">, Maxine, &amp; </w:t>
      </w:r>
      <w:proofErr w:type="spellStart"/>
      <w:r w:rsidRPr="00CC62FC">
        <w:rPr>
          <w:szCs w:val="24"/>
        </w:rPr>
        <w:t>McLinden</w:t>
      </w:r>
      <w:proofErr w:type="spellEnd"/>
      <w:r w:rsidRPr="00CC62FC">
        <w:rPr>
          <w:szCs w:val="24"/>
        </w:rPr>
        <w:t xml:space="preserve">, Mike (2014) </w:t>
      </w:r>
      <w:r w:rsidRPr="00CC62FC">
        <w:rPr>
          <w:i/>
          <w:iCs/>
          <w:szCs w:val="24"/>
        </w:rPr>
        <w:t>Teaching and learning in higher education: disciplinary approaches to educational enquiry</w:t>
      </w:r>
      <w:r w:rsidRPr="00CC62FC">
        <w:rPr>
          <w:szCs w:val="24"/>
        </w:rPr>
        <w:t xml:space="preserve">. London: Sage. </w:t>
      </w:r>
    </w:p>
    <w:p w14:paraId="7063CE25" w14:textId="526E3C76" w:rsidR="00B56B55" w:rsidRPr="00CC62FC" w:rsidRDefault="00B56B55" w:rsidP="00B37304">
      <w:pPr>
        <w:rPr>
          <w:szCs w:val="24"/>
        </w:rPr>
      </w:pPr>
      <w:r w:rsidRPr="00CC62FC">
        <w:rPr>
          <w:szCs w:val="24"/>
        </w:rPr>
        <w:t xml:space="preserve">Connell, </w:t>
      </w:r>
      <w:proofErr w:type="spellStart"/>
      <w:r w:rsidRPr="00CC62FC">
        <w:rPr>
          <w:szCs w:val="24"/>
        </w:rPr>
        <w:t>Raewyn</w:t>
      </w:r>
      <w:proofErr w:type="spellEnd"/>
      <w:r w:rsidRPr="00CC62FC">
        <w:rPr>
          <w:szCs w:val="24"/>
        </w:rPr>
        <w:t xml:space="preserve"> (2012) Transsexual women and feminist thought: toward new understanding and new politics. </w:t>
      </w:r>
      <w:r w:rsidRPr="00CC62FC">
        <w:rPr>
          <w:i/>
          <w:iCs/>
          <w:szCs w:val="24"/>
        </w:rPr>
        <w:t>Signs</w:t>
      </w:r>
      <w:r w:rsidRPr="00CC62FC">
        <w:rPr>
          <w:szCs w:val="24"/>
        </w:rPr>
        <w:t xml:space="preserve">, 37(4), 857–81. </w:t>
      </w:r>
    </w:p>
    <w:p w14:paraId="1E5B62DE" w14:textId="4DB10D01" w:rsidR="00910BC3" w:rsidRPr="00CC62FC" w:rsidRDefault="00910BC3" w:rsidP="00B37304">
      <w:pPr>
        <w:rPr>
          <w:szCs w:val="24"/>
        </w:rPr>
      </w:pPr>
      <w:proofErr w:type="spellStart"/>
      <w:r w:rsidRPr="00CC62FC">
        <w:rPr>
          <w:szCs w:val="24"/>
        </w:rPr>
        <w:t>Currah</w:t>
      </w:r>
      <w:proofErr w:type="spellEnd"/>
      <w:r w:rsidRPr="00CC62FC">
        <w:rPr>
          <w:szCs w:val="24"/>
        </w:rPr>
        <w:t xml:space="preserve">, Paisley (2001) Queer theory, lesbian and gay rights, and transsexual marriages. In </w:t>
      </w:r>
      <w:proofErr w:type="spellStart"/>
      <w:r w:rsidRPr="00CC62FC">
        <w:rPr>
          <w:szCs w:val="24"/>
        </w:rPr>
        <w:t>Blasius</w:t>
      </w:r>
      <w:proofErr w:type="spellEnd"/>
      <w:r w:rsidRPr="00CC62FC">
        <w:rPr>
          <w:szCs w:val="24"/>
        </w:rPr>
        <w:t>, Mark (</w:t>
      </w:r>
      <w:proofErr w:type="spellStart"/>
      <w:proofErr w:type="gramStart"/>
      <w:r w:rsidRPr="00CC62FC">
        <w:rPr>
          <w:szCs w:val="24"/>
        </w:rPr>
        <w:t>ed</w:t>
      </w:r>
      <w:proofErr w:type="spellEnd"/>
      <w:proofErr w:type="gramEnd"/>
      <w:r w:rsidRPr="00CC62FC">
        <w:rPr>
          <w:szCs w:val="24"/>
        </w:rPr>
        <w:t xml:space="preserve">), </w:t>
      </w:r>
      <w:r w:rsidRPr="00CC62FC">
        <w:rPr>
          <w:i/>
          <w:iCs/>
          <w:szCs w:val="24"/>
        </w:rPr>
        <w:t>Sexual identities, queer politics</w:t>
      </w:r>
      <w:r w:rsidRPr="00CC62FC">
        <w:rPr>
          <w:szCs w:val="24"/>
        </w:rPr>
        <w:t xml:space="preserve">. Princeton, NJ: Princeton University Press, 178–99. </w:t>
      </w:r>
    </w:p>
    <w:p w14:paraId="2B6AB1EA" w14:textId="152C30E9" w:rsidR="007D1813" w:rsidRPr="00CC62FC" w:rsidRDefault="007D1813" w:rsidP="00B37304">
      <w:pPr>
        <w:rPr>
          <w:szCs w:val="24"/>
        </w:rPr>
      </w:pPr>
      <w:r w:rsidRPr="00CC62FC">
        <w:rPr>
          <w:szCs w:val="24"/>
        </w:rPr>
        <w:t xml:space="preserve">David, Maxine E. (2009) Social diversity and democracy in higher education in the 21st century: towards a feminist critique. </w:t>
      </w:r>
      <w:r w:rsidRPr="00CC62FC">
        <w:rPr>
          <w:i/>
          <w:iCs/>
          <w:szCs w:val="24"/>
        </w:rPr>
        <w:t>Higher Education Policy</w:t>
      </w:r>
      <w:r w:rsidRPr="00CC62FC">
        <w:rPr>
          <w:szCs w:val="24"/>
        </w:rPr>
        <w:t xml:space="preserve">, 22(1), 61–79. </w:t>
      </w:r>
    </w:p>
    <w:p w14:paraId="3121B40F" w14:textId="309D17E6" w:rsidR="00663BBC" w:rsidRPr="00CC62FC" w:rsidRDefault="00663BBC" w:rsidP="00B37304">
      <w:pPr>
        <w:rPr>
          <w:szCs w:val="24"/>
        </w:rPr>
      </w:pPr>
      <w:r w:rsidRPr="00CC62FC">
        <w:rPr>
          <w:szCs w:val="24"/>
        </w:rPr>
        <w:t xml:space="preserve">Ellis, Sonja J. (2009) </w:t>
      </w:r>
      <w:r w:rsidRPr="00CC62FC">
        <w:t xml:space="preserve">Diversity and inclusivity at university: a survey of the experiences of lesbian, gay, bisexual and </w:t>
      </w:r>
      <w:proofErr w:type="gramStart"/>
      <w:r w:rsidRPr="00CC62FC">
        <w:t>trans</w:t>
      </w:r>
      <w:proofErr w:type="gramEnd"/>
      <w:r w:rsidRPr="00CC62FC">
        <w:t xml:space="preserve"> (LGBT) students in the UK. </w:t>
      </w:r>
      <w:r w:rsidRPr="00CC62FC">
        <w:rPr>
          <w:i/>
          <w:iCs/>
        </w:rPr>
        <w:t>Higher Education</w:t>
      </w:r>
      <w:r w:rsidRPr="00CC62FC">
        <w:t>, 57(6), 723–39.</w:t>
      </w:r>
    </w:p>
    <w:p w14:paraId="71C4F366" w14:textId="58E70117" w:rsidR="00663BBC" w:rsidRDefault="00663BBC" w:rsidP="00B37304">
      <w:pPr>
        <w:rPr>
          <w:i/>
          <w:iCs/>
          <w:szCs w:val="24"/>
        </w:rPr>
      </w:pPr>
      <w:r w:rsidRPr="00CC62FC">
        <w:rPr>
          <w:szCs w:val="24"/>
        </w:rPr>
        <w:t xml:space="preserve">Formby, Eleanor (2015) </w:t>
      </w:r>
      <w:r w:rsidRPr="00CC62FC">
        <w:rPr>
          <w:i/>
          <w:iCs/>
          <w:szCs w:val="24"/>
        </w:rPr>
        <w:t>#</w:t>
      </w:r>
      <w:proofErr w:type="spellStart"/>
      <w:r w:rsidRPr="00CC62FC">
        <w:rPr>
          <w:i/>
          <w:iCs/>
          <w:szCs w:val="24"/>
        </w:rPr>
        <w:t>FreshersToFinals</w:t>
      </w:r>
      <w:proofErr w:type="spellEnd"/>
      <w:r w:rsidRPr="00CC62FC">
        <w:rPr>
          <w:i/>
          <w:iCs/>
          <w:szCs w:val="24"/>
        </w:rPr>
        <w:t xml:space="preserve">: from </w:t>
      </w:r>
      <w:proofErr w:type="spellStart"/>
      <w:r w:rsidRPr="00CC62FC">
        <w:rPr>
          <w:i/>
          <w:iCs/>
          <w:szCs w:val="24"/>
        </w:rPr>
        <w:t>freshers’</w:t>
      </w:r>
      <w:proofErr w:type="spellEnd"/>
      <w:r w:rsidRPr="00CC62FC">
        <w:rPr>
          <w:i/>
          <w:iCs/>
          <w:szCs w:val="24"/>
        </w:rPr>
        <w:t xml:space="preserve"> week to finals: understanding LGBT+ perspectives on, and experiences of, higher education</w:t>
      </w:r>
      <w:r w:rsidRPr="00CC62FC">
        <w:rPr>
          <w:szCs w:val="24"/>
        </w:rPr>
        <w:t xml:space="preserve">. Sheffield: Centre for Education and Inclusion Research, Sheffield Hallam University. Available online: </w:t>
      </w:r>
      <w:hyperlink r:id="rId18" w:history="1">
        <w:r w:rsidRPr="00CC62FC">
          <w:rPr>
            <w:rStyle w:val="Hyperlink"/>
            <w:szCs w:val="24"/>
          </w:rPr>
          <w:t>http://www.shu.ac.uk/_assets/pdf/freshers-to-finals-end-report.pdf</w:t>
        </w:r>
      </w:hyperlink>
      <w:r w:rsidRPr="00CC62FC">
        <w:rPr>
          <w:szCs w:val="24"/>
        </w:rPr>
        <w:t xml:space="preserve"> [accessed 27/11/2015]. </w:t>
      </w:r>
      <w:r w:rsidRPr="00CC62FC">
        <w:rPr>
          <w:i/>
          <w:iCs/>
          <w:szCs w:val="24"/>
        </w:rPr>
        <w:t xml:space="preserve"> </w:t>
      </w:r>
    </w:p>
    <w:p w14:paraId="478628E5" w14:textId="1DA53177" w:rsidR="001F52C3" w:rsidRDefault="001F52C3" w:rsidP="00B37304">
      <w:pPr>
        <w:rPr>
          <w:szCs w:val="24"/>
        </w:rPr>
      </w:pPr>
      <w:r>
        <w:rPr>
          <w:szCs w:val="24"/>
        </w:rPr>
        <w:t>Gendered Intelligence (</w:t>
      </w:r>
      <w:proofErr w:type="spellStart"/>
      <w:r>
        <w:rPr>
          <w:szCs w:val="24"/>
        </w:rPr>
        <w:t>n.d.</w:t>
      </w:r>
      <w:proofErr w:type="spellEnd"/>
      <w:r>
        <w:rPr>
          <w:szCs w:val="24"/>
        </w:rPr>
        <w:t xml:space="preserve">) </w:t>
      </w:r>
      <w:r>
        <w:rPr>
          <w:i/>
          <w:iCs/>
          <w:szCs w:val="24"/>
        </w:rPr>
        <w:t>Capturing journeys… and setting goals</w:t>
      </w:r>
      <w:r>
        <w:rPr>
          <w:szCs w:val="24"/>
        </w:rPr>
        <w:t xml:space="preserve">. London: Gendered Intelligence. </w:t>
      </w:r>
    </w:p>
    <w:p w14:paraId="2FD8B24C" w14:textId="377BBE83" w:rsidR="003736D4" w:rsidRPr="003736D4" w:rsidRDefault="003736D4" w:rsidP="00B37304">
      <w:pPr>
        <w:rPr>
          <w:szCs w:val="24"/>
        </w:rPr>
      </w:pPr>
      <w:proofErr w:type="spellStart"/>
      <w:r>
        <w:rPr>
          <w:szCs w:val="24"/>
        </w:rPr>
        <w:t>Goldmark</w:t>
      </w:r>
      <w:proofErr w:type="spellEnd"/>
      <w:r>
        <w:rPr>
          <w:szCs w:val="24"/>
        </w:rPr>
        <w:t xml:space="preserve">, Matthew (2015) ‘Reading habits: Catalina de </w:t>
      </w:r>
      <w:proofErr w:type="spellStart"/>
      <w:r>
        <w:rPr>
          <w:szCs w:val="24"/>
        </w:rPr>
        <w:t>Erauso</w:t>
      </w:r>
      <w:proofErr w:type="spellEnd"/>
      <w:r>
        <w:rPr>
          <w:szCs w:val="24"/>
        </w:rPr>
        <w:t xml:space="preserve"> and the subjects of early modern Spanish gender and sexuality’. </w:t>
      </w:r>
      <w:r>
        <w:rPr>
          <w:i/>
          <w:iCs/>
          <w:szCs w:val="24"/>
        </w:rPr>
        <w:t>Colonial Latin American Review</w:t>
      </w:r>
      <w:r>
        <w:rPr>
          <w:szCs w:val="24"/>
        </w:rPr>
        <w:t xml:space="preserve"> 24 (2): 215–35.</w:t>
      </w:r>
    </w:p>
    <w:p w14:paraId="1CD029E4" w14:textId="757CE5FE" w:rsidR="00FE6B8B" w:rsidRPr="00CC62FC" w:rsidRDefault="00FE6B8B" w:rsidP="00B37304">
      <w:pPr>
        <w:rPr>
          <w:szCs w:val="24"/>
        </w:rPr>
      </w:pPr>
      <w:r w:rsidRPr="00CC62FC">
        <w:rPr>
          <w:szCs w:val="24"/>
        </w:rPr>
        <w:t xml:space="preserve">Grossman, Arnold H., and </w:t>
      </w:r>
      <w:proofErr w:type="spellStart"/>
      <w:r w:rsidRPr="00CC62FC">
        <w:rPr>
          <w:szCs w:val="24"/>
        </w:rPr>
        <w:t>D’augelli</w:t>
      </w:r>
      <w:proofErr w:type="spellEnd"/>
      <w:r w:rsidRPr="00CC62FC">
        <w:rPr>
          <w:szCs w:val="24"/>
        </w:rPr>
        <w:t xml:space="preserve">, Anthony R. (2006) Transgender youth: invisible and vulnerable. </w:t>
      </w:r>
      <w:r w:rsidRPr="00CC62FC">
        <w:rPr>
          <w:i/>
          <w:iCs/>
          <w:szCs w:val="24"/>
        </w:rPr>
        <w:t>Journal of Homosexuality</w:t>
      </w:r>
      <w:r w:rsidRPr="00CC62FC">
        <w:rPr>
          <w:szCs w:val="24"/>
        </w:rPr>
        <w:t xml:space="preserve">, 51(1), 111–28. </w:t>
      </w:r>
    </w:p>
    <w:p w14:paraId="09E2C07C" w14:textId="1ACA7979" w:rsidR="00492DA0" w:rsidRDefault="00492DA0" w:rsidP="00492DA0">
      <w:pPr>
        <w:rPr>
          <w:rFonts w:cs="Times New Roman"/>
          <w:szCs w:val="24"/>
        </w:rPr>
      </w:pPr>
      <w:proofErr w:type="spellStart"/>
      <w:r w:rsidRPr="00190E10">
        <w:rPr>
          <w:rFonts w:cs="Times New Roman"/>
          <w:szCs w:val="24"/>
        </w:rPr>
        <w:t>Halberstam</w:t>
      </w:r>
      <w:proofErr w:type="spellEnd"/>
      <w:r w:rsidRPr="00190E10">
        <w:rPr>
          <w:rFonts w:cs="Times New Roman"/>
          <w:szCs w:val="24"/>
        </w:rPr>
        <w:t xml:space="preserve">, </w:t>
      </w:r>
      <w:r>
        <w:rPr>
          <w:rFonts w:cs="Times New Roman"/>
          <w:szCs w:val="24"/>
        </w:rPr>
        <w:t xml:space="preserve">Judith (2005) </w:t>
      </w:r>
      <w:r w:rsidRPr="00190E10">
        <w:rPr>
          <w:rFonts w:cs="Times New Roman"/>
          <w:i/>
          <w:iCs/>
          <w:szCs w:val="24"/>
        </w:rPr>
        <w:t>In a Queer Time and Place</w:t>
      </w:r>
      <w:r>
        <w:rPr>
          <w:rFonts w:cs="Times New Roman"/>
          <w:szCs w:val="24"/>
        </w:rPr>
        <w:t xml:space="preserve">. </w:t>
      </w:r>
      <w:r w:rsidRPr="00190E10">
        <w:rPr>
          <w:rFonts w:cs="Times New Roman"/>
          <w:szCs w:val="24"/>
        </w:rPr>
        <w:t>New York: New York University Press</w:t>
      </w:r>
      <w:r>
        <w:rPr>
          <w:rFonts w:cs="Times New Roman"/>
          <w:szCs w:val="24"/>
        </w:rPr>
        <w:t>.</w:t>
      </w:r>
    </w:p>
    <w:p w14:paraId="715CFC79" w14:textId="1E925F4D" w:rsidR="00CC75B4" w:rsidRPr="00CC75B4" w:rsidRDefault="00CC75B4" w:rsidP="00492DA0">
      <w:pPr>
        <w:rPr>
          <w:szCs w:val="24"/>
        </w:rPr>
      </w:pPr>
      <w:r>
        <w:rPr>
          <w:rFonts w:cs="Times New Roman"/>
          <w:szCs w:val="24"/>
        </w:rPr>
        <w:t>Higginbotham, Evelyn Brooks (1989) ‘</w:t>
      </w:r>
      <w:proofErr w:type="gramStart"/>
      <w:r>
        <w:rPr>
          <w:rFonts w:cs="Times New Roman"/>
          <w:szCs w:val="24"/>
        </w:rPr>
        <w:t>Beyond</w:t>
      </w:r>
      <w:proofErr w:type="gramEnd"/>
      <w:r>
        <w:rPr>
          <w:rFonts w:cs="Times New Roman"/>
          <w:szCs w:val="24"/>
        </w:rPr>
        <w:t xml:space="preserve"> the sound of silence: Afro-American women in history’. </w:t>
      </w:r>
      <w:r>
        <w:rPr>
          <w:rFonts w:cs="Times New Roman"/>
          <w:i/>
          <w:iCs/>
          <w:szCs w:val="24"/>
        </w:rPr>
        <w:t>Gender and History</w:t>
      </w:r>
      <w:r>
        <w:rPr>
          <w:rFonts w:cs="Times New Roman"/>
          <w:szCs w:val="24"/>
        </w:rPr>
        <w:t xml:space="preserve"> 1 (1): 50–67.</w:t>
      </w:r>
    </w:p>
    <w:p w14:paraId="1E2133D9" w14:textId="62344781" w:rsidR="007D1813" w:rsidRPr="00CC62FC" w:rsidRDefault="007D1813" w:rsidP="00B37304">
      <w:pPr>
        <w:rPr>
          <w:szCs w:val="24"/>
        </w:rPr>
      </w:pPr>
      <w:proofErr w:type="gramStart"/>
      <w:r w:rsidRPr="00CC62FC">
        <w:rPr>
          <w:szCs w:val="24"/>
        </w:rPr>
        <w:lastRenderedPageBreak/>
        <w:t>hooks</w:t>
      </w:r>
      <w:proofErr w:type="gramEnd"/>
      <w:r w:rsidRPr="00CC62FC">
        <w:rPr>
          <w:szCs w:val="24"/>
        </w:rPr>
        <w:t xml:space="preserve">, bell (1994) </w:t>
      </w:r>
      <w:r w:rsidRPr="00CC62FC">
        <w:rPr>
          <w:i/>
          <w:iCs/>
          <w:szCs w:val="24"/>
        </w:rPr>
        <w:t>Teaching to transgress: education as the practice of freedom</w:t>
      </w:r>
      <w:r w:rsidRPr="00CC62FC">
        <w:rPr>
          <w:szCs w:val="24"/>
        </w:rPr>
        <w:t xml:space="preserve">. London and New York: </w:t>
      </w:r>
      <w:proofErr w:type="spellStart"/>
      <w:r w:rsidRPr="00CC62FC">
        <w:rPr>
          <w:szCs w:val="24"/>
        </w:rPr>
        <w:t>Routledge</w:t>
      </w:r>
      <w:proofErr w:type="spellEnd"/>
      <w:r w:rsidRPr="00CC62FC">
        <w:rPr>
          <w:szCs w:val="24"/>
        </w:rPr>
        <w:t xml:space="preserve">. </w:t>
      </w:r>
    </w:p>
    <w:p w14:paraId="7A345A1E" w14:textId="78E32C6E" w:rsidR="00A33B6E" w:rsidRPr="00CC62FC" w:rsidRDefault="00A33B6E" w:rsidP="00B37304">
      <w:pPr>
        <w:rPr>
          <w:szCs w:val="24"/>
        </w:rPr>
      </w:pPr>
      <w:r w:rsidRPr="00CC62FC">
        <w:rPr>
          <w:szCs w:val="24"/>
        </w:rPr>
        <w:t xml:space="preserve">James, </w:t>
      </w:r>
      <w:proofErr w:type="spellStart"/>
      <w:r w:rsidRPr="00CC62FC">
        <w:rPr>
          <w:szCs w:val="24"/>
        </w:rPr>
        <w:t>Nalita</w:t>
      </w:r>
      <w:proofErr w:type="spellEnd"/>
      <w:r w:rsidRPr="00CC62FC">
        <w:rPr>
          <w:szCs w:val="24"/>
        </w:rPr>
        <w:t xml:space="preserve">, &amp; </w:t>
      </w:r>
      <w:proofErr w:type="spellStart"/>
      <w:r w:rsidRPr="00CC62FC">
        <w:rPr>
          <w:szCs w:val="24"/>
        </w:rPr>
        <w:t>Busher</w:t>
      </w:r>
      <w:proofErr w:type="spellEnd"/>
      <w:r w:rsidRPr="00CC62FC">
        <w:rPr>
          <w:szCs w:val="24"/>
        </w:rPr>
        <w:t xml:space="preserve">, Hugh (2009) </w:t>
      </w:r>
      <w:r w:rsidRPr="00CC62FC">
        <w:rPr>
          <w:i/>
          <w:iCs/>
          <w:szCs w:val="24"/>
        </w:rPr>
        <w:t>Online interviewing</w:t>
      </w:r>
      <w:r w:rsidRPr="00CC62FC">
        <w:rPr>
          <w:szCs w:val="24"/>
        </w:rPr>
        <w:t xml:space="preserve">. London: Sage. </w:t>
      </w:r>
    </w:p>
    <w:p w14:paraId="1ACE63BC" w14:textId="61B59411" w:rsidR="00B37304" w:rsidRPr="00CC62FC" w:rsidRDefault="00B37304" w:rsidP="00B37304">
      <w:pPr>
        <w:rPr>
          <w:szCs w:val="24"/>
        </w:rPr>
      </w:pPr>
      <w:r w:rsidRPr="00CC62FC">
        <w:rPr>
          <w:szCs w:val="24"/>
        </w:rPr>
        <w:t xml:space="preserve">Joel, Daphna, </w:t>
      </w:r>
      <w:proofErr w:type="spellStart"/>
      <w:r w:rsidRPr="00CC62FC">
        <w:rPr>
          <w:szCs w:val="24"/>
        </w:rPr>
        <w:t>Tarrasch</w:t>
      </w:r>
      <w:proofErr w:type="spellEnd"/>
      <w:r w:rsidRPr="00CC62FC">
        <w:rPr>
          <w:szCs w:val="24"/>
        </w:rPr>
        <w:t xml:space="preserve">, Ricardo, Berman, Zohar, </w:t>
      </w:r>
      <w:proofErr w:type="spellStart"/>
      <w:r w:rsidRPr="00CC62FC">
        <w:rPr>
          <w:szCs w:val="24"/>
        </w:rPr>
        <w:t>Mukamel</w:t>
      </w:r>
      <w:proofErr w:type="spellEnd"/>
      <w:r w:rsidRPr="00CC62FC">
        <w:rPr>
          <w:szCs w:val="24"/>
        </w:rPr>
        <w:t xml:space="preserve">, Maya, &amp; </w:t>
      </w:r>
      <w:proofErr w:type="spellStart"/>
      <w:r w:rsidRPr="00CC62FC">
        <w:rPr>
          <w:szCs w:val="24"/>
        </w:rPr>
        <w:t>Ziv</w:t>
      </w:r>
      <w:proofErr w:type="spellEnd"/>
      <w:r w:rsidRPr="00CC62FC">
        <w:rPr>
          <w:szCs w:val="24"/>
        </w:rPr>
        <w:t xml:space="preserve">, </w:t>
      </w:r>
      <w:proofErr w:type="spellStart"/>
      <w:r w:rsidRPr="00CC62FC">
        <w:rPr>
          <w:szCs w:val="24"/>
        </w:rPr>
        <w:t>Effi</w:t>
      </w:r>
      <w:proofErr w:type="spellEnd"/>
      <w:r w:rsidRPr="00CC62FC">
        <w:rPr>
          <w:szCs w:val="24"/>
        </w:rPr>
        <w:t xml:space="preserve"> (2014) Queering gender: studying gender identity in ‘normative’ individuals, </w:t>
      </w:r>
      <w:r w:rsidRPr="00CC62FC">
        <w:rPr>
          <w:i/>
          <w:iCs/>
          <w:szCs w:val="24"/>
        </w:rPr>
        <w:t>Psychology and Sexuality</w:t>
      </w:r>
      <w:r w:rsidRPr="00CC62FC">
        <w:rPr>
          <w:szCs w:val="24"/>
        </w:rPr>
        <w:t xml:space="preserve">, 5(4), 291–321. </w:t>
      </w:r>
    </w:p>
    <w:p w14:paraId="7B15A1F3" w14:textId="6F9E14FA" w:rsidR="00887965" w:rsidRPr="00CC62FC" w:rsidRDefault="00887965" w:rsidP="00FE03E4">
      <w:pPr>
        <w:rPr>
          <w:rFonts w:cs="Arial"/>
          <w:szCs w:val="20"/>
        </w:rPr>
      </w:pPr>
      <w:r w:rsidRPr="00CC62FC">
        <w:rPr>
          <w:rFonts w:cs="Arial"/>
          <w:szCs w:val="20"/>
        </w:rPr>
        <w:t xml:space="preserve">Kennedy, </w:t>
      </w:r>
      <w:proofErr w:type="spellStart"/>
      <w:r w:rsidRPr="00CC62FC">
        <w:rPr>
          <w:rFonts w:cs="Arial"/>
          <w:szCs w:val="20"/>
        </w:rPr>
        <w:t>Natacha</w:t>
      </w:r>
      <w:proofErr w:type="spellEnd"/>
      <w:r w:rsidRPr="00CC62FC">
        <w:rPr>
          <w:rFonts w:cs="Arial"/>
          <w:szCs w:val="20"/>
        </w:rPr>
        <w:t xml:space="preserve"> (2013) </w:t>
      </w:r>
      <w:r w:rsidRPr="00CC62FC">
        <w:t xml:space="preserve">Cultural </w:t>
      </w:r>
      <w:proofErr w:type="spellStart"/>
      <w:r w:rsidRPr="00CC62FC">
        <w:t>cisgenderism</w:t>
      </w:r>
      <w:proofErr w:type="spellEnd"/>
      <w:r w:rsidRPr="00CC62FC">
        <w:t xml:space="preserve">: consequences of the imperceptible. </w:t>
      </w:r>
      <w:r w:rsidRPr="00CC62FC">
        <w:rPr>
          <w:i/>
          <w:iCs/>
        </w:rPr>
        <w:t>Psychology of Women Section Review</w:t>
      </w:r>
      <w:r w:rsidRPr="00CC62FC">
        <w:t>, 15(2), 1–7.</w:t>
      </w:r>
    </w:p>
    <w:p w14:paraId="317CFEA9" w14:textId="158934EE" w:rsidR="00910BC3" w:rsidRPr="00CC62FC" w:rsidRDefault="00910BC3" w:rsidP="00ED690B">
      <w:pPr>
        <w:rPr>
          <w:rFonts w:cs="Arial"/>
          <w:szCs w:val="20"/>
        </w:rPr>
      </w:pPr>
      <w:proofErr w:type="spellStart"/>
      <w:r w:rsidRPr="00CC62FC">
        <w:rPr>
          <w:rFonts w:cs="Arial"/>
          <w:szCs w:val="20"/>
        </w:rPr>
        <w:t>Kulick</w:t>
      </w:r>
      <w:proofErr w:type="spellEnd"/>
      <w:r w:rsidRPr="00CC62FC">
        <w:rPr>
          <w:rFonts w:cs="Arial"/>
          <w:szCs w:val="20"/>
        </w:rPr>
        <w:t xml:space="preserve">, Don (1998) </w:t>
      </w:r>
      <w:proofErr w:type="spellStart"/>
      <w:r w:rsidRPr="00CC62FC">
        <w:rPr>
          <w:rFonts w:cs="Arial"/>
          <w:i/>
          <w:iCs/>
          <w:szCs w:val="20"/>
        </w:rPr>
        <w:t>Travesti</w:t>
      </w:r>
      <w:proofErr w:type="spellEnd"/>
      <w:r w:rsidRPr="00CC62FC">
        <w:rPr>
          <w:rFonts w:cs="Arial"/>
          <w:i/>
          <w:iCs/>
          <w:szCs w:val="20"/>
        </w:rPr>
        <w:t>: sex, gender, and culture among Brazilian transgendered prostitutes</w:t>
      </w:r>
      <w:r w:rsidRPr="00CC62FC">
        <w:rPr>
          <w:rFonts w:cs="Arial"/>
          <w:szCs w:val="20"/>
        </w:rPr>
        <w:t>. Chicago, IL: University of Chicago Press.</w:t>
      </w:r>
    </w:p>
    <w:p w14:paraId="06C5F9BE" w14:textId="5DA32149" w:rsidR="00BB0EEE" w:rsidRPr="00BB0EEE" w:rsidRDefault="00BB0EEE" w:rsidP="00ED690B">
      <w:pPr>
        <w:rPr>
          <w:rFonts w:cs="Arial"/>
          <w:szCs w:val="20"/>
        </w:rPr>
      </w:pPr>
      <w:r>
        <w:rPr>
          <w:rFonts w:cs="Arial"/>
          <w:szCs w:val="20"/>
        </w:rPr>
        <w:t xml:space="preserve">LGBT Youth Scotland (2012) </w:t>
      </w:r>
      <w:r>
        <w:rPr>
          <w:rFonts w:cs="Arial"/>
          <w:i/>
          <w:iCs/>
          <w:szCs w:val="20"/>
        </w:rPr>
        <w:t>Life in Scotland for LGBT young people: education report</w:t>
      </w:r>
      <w:r>
        <w:rPr>
          <w:rFonts w:cs="Arial"/>
          <w:szCs w:val="20"/>
        </w:rPr>
        <w:t xml:space="preserve">. Edinburgh: LGBT Youth Scotland. </w:t>
      </w:r>
      <w:hyperlink r:id="rId19" w:history="1">
        <w:r w:rsidRPr="00DB35DD">
          <w:rPr>
            <w:rStyle w:val="Hyperlink"/>
            <w:rFonts w:cs="Arial"/>
            <w:szCs w:val="20"/>
          </w:rPr>
          <w:t>https://www.lgbtyouth.org.uk/files/documents/Life_in_Scotland_for_LGBT_Young_People_-_Education_Report_NEW.pdf</w:t>
        </w:r>
      </w:hyperlink>
      <w:r>
        <w:rPr>
          <w:rFonts w:cs="Arial"/>
          <w:szCs w:val="20"/>
        </w:rPr>
        <w:t xml:space="preserve"> [accessed: 27/6/2016].</w:t>
      </w:r>
    </w:p>
    <w:p w14:paraId="5DFDFFD7" w14:textId="4511B233" w:rsidR="00EC1CFF" w:rsidRPr="00CC62FC" w:rsidRDefault="00EC1CFF" w:rsidP="00ED690B">
      <w:pPr>
        <w:rPr>
          <w:rFonts w:cs="Arial"/>
          <w:szCs w:val="20"/>
        </w:rPr>
      </w:pPr>
      <w:r w:rsidRPr="00CC62FC">
        <w:rPr>
          <w:rFonts w:cs="Arial"/>
          <w:szCs w:val="20"/>
        </w:rPr>
        <w:t xml:space="preserve">Matthews-Jones, Lucinda (2015) </w:t>
      </w:r>
      <w:r w:rsidRPr="00CC62FC">
        <w:t xml:space="preserve">Teaching women’s and gender history: introducing our past, present and future. </w:t>
      </w:r>
      <w:r w:rsidRPr="00CC62FC">
        <w:rPr>
          <w:i/>
          <w:iCs/>
        </w:rPr>
        <w:t>Women’s History</w:t>
      </w:r>
      <w:r w:rsidRPr="00CC62FC">
        <w:t>, 2(3), 4–7.</w:t>
      </w:r>
    </w:p>
    <w:p w14:paraId="15AA9C23" w14:textId="36367ADE" w:rsidR="00663BBC" w:rsidRPr="00CC62FC" w:rsidRDefault="00663BBC" w:rsidP="00ED690B">
      <w:pPr>
        <w:rPr>
          <w:rFonts w:cs="Arial"/>
          <w:szCs w:val="20"/>
        </w:rPr>
      </w:pPr>
      <w:r w:rsidRPr="00CC62FC">
        <w:rPr>
          <w:rFonts w:cs="Arial"/>
          <w:szCs w:val="20"/>
        </w:rPr>
        <w:t xml:space="preserve">McKinney, Jeffrey S. (2005) </w:t>
      </w:r>
      <w:proofErr w:type="gramStart"/>
      <w:r w:rsidRPr="00CC62FC">
        <w:t>On</w:t>
      </w:r>
      <w:proofErr w:type="gramEnd"/>
      <w:r w:rsidRPr="00CC62FC">
        <w:t xml:space="preserve"> the margins: a study of the experiences of transgender college students. </w:t>
      </w:r>
      <w:r w:rsidRPr="00CC62FC">
        <w:rPr>
          <w:i/>
          <w:iCs/>
        </w:rPr>
        <w:t>Journal of Gay and Lesbian Issues in Education</w:t>
      </w:r>
      <w:r w:rsidRPr="00CC62FC">
        <w:t xml:space="preserve">, 3(1), 63–76. </w:t>
      </w:r>
    </w:p>
    <w:p w14:paraId="56FF0BC5" w14:textId="38B6100F" w:rsidR="00663BBC" w:rsidRPr="00CC62FC" w:rsidRDefault="00663BBC" w:rsidP="00ED690B">
      <w:pPr>
        <w:rPr>
          <w:rFonts w:cs="Arial"/>
          <w:szCs w:val="20"/>
        </w:rPr>
      </w:pPr>
      <w:r w:rsidRPr="00CC62FC">
        <w:rPr>
          <w:rFonts w:cs="Arial"/>
          <w:szCs w:val="20"/>
        </w:rPr>
        <w:t xml:space="preserve">Metro (2014) </w:t>
      </w:r>
      <w:r w:rsidRPr="00CC62FC">
        <w:rPr>
          <w:rFonts w:cs="Arial"/>
          <w:i/>
          <w:iCs/>
          <w:szCs w:val="20"/>
        </w:rPr>
        <w:t>Youth chances survey of 16–25 year olds: first reference report</w:t>
      </w:r>
      <w:r w:rsidRPr="00CC62FC">
        <w:rPr>
          <w:rFonts w:cs="Arial"/>
          <w:szCs w:val="20"/>
        </w:rPr>
        <w:t>. London: Metro.</w:t>
      </w:r>
      <w:r w:rsidR="00BE73FF" w:rsidRPr="00CC62FC">
        <w:rPr>
          <w:rFonts w:cs="Arial"/>
          <w:szCs w:val="20"/>
        </w:rPr>
        <w:t xml:space="preserve"> Available online: </w:t>
      </w:r>
      <w:hyperlink r:id="rId20" w:history="1">
        <w:r w:rsidR="00BE73FF" w:rsidRPr="00CC62FC">
          <w:rPr>
            <w:rStyle w:val="Hyperlink"/>
            <w:rFonts w:cs="Arial"/>
            <w:szCs w:val="20"/>
          </w:rPr>
          <w:t>http://www.youthchances.org/wp-content/uploads/2011/03/YouthChancesSurvey-16-25yearOlds_FirstReferenceReport.pdf</w:t>
        </w:r>
      </w:hyperlink>
      <w:r w:rsidR="00BE73FF" w:rsidRPr="00CC62FC">
        <w:rPr>
          <w:rFonts w:cs="Arial"/>
          <w:szCs w:val="20"/>
        </w:rPr>
        <w:t xml:space="preserve"> [accessed: 28/11/2015].</w:t>
      </w:r>
    </w:p>
    <w:p w14:paraId="211CC6CD" w14:textId="252B0065" w:rsidR="00ED690B" w:rsidRPr="00CC62FC" w:rsidRDefault="00ED690B" w:rsidP="00ED690B">
      <w:r w:rsidRPr="00CC62FC">
        <w:rPr>
          <w:rFonts w:cs="Arial"/>
          <w:szCs w:val="20"/>
        </w:rPr>
        <w:t xml:space="preserve">Meyer, Jan, &amp; Land, Ray (2003) </w:t>
      </w:r>
      <w:r w:rsidRPr="00CC62FC">
        <w:t>Threshold concepts and troublesome knowledge: linkages to ways of thinking and practising within the disciplines. In Rust, Chris (</w:t>
      </w:r>
      <w:proofErr w:type="spellStart"/>
      <w:proofErr w:type="gramStart"/>
      <w:r w:rsidRPr="00CC62FC">
        <w:t>ed</w:t>
      </w:r>
      <w:proofErr w:type="spellEnd"/>
      <w:proofErr w:type="gramEnd"/>
      <w:r w:rsidRPr="00CC62FC">
        <w:t xml:space="preserve">) </w:t>
      </w:r>
      <w:r w:rsidRPr="00CC62FC">
        <w:rPr>
          <w:i/>
          <w:iCs/>
        </w:rPr>
        <w:t>Improving student learning: ten years on</w:t>
      </w:r>
      <w:r w:rsidRPr="00CC62FC">
        <w:t xml:space="preserve">. Oxford: OCSLD, 1–16. </w:t>
      </w:r>
    </w:p>
    <w:p w14:paraId="20C774C8" w14:textId="2AEF472B" w:rsidR="002F7090" w:rsidRPr="00CC62FC" w:rsidRDefault="002F7090" w:rsidP="00ED690B">
      <w:r w:rsidRPr="00CC62FC">
        <w:t xml:space="preserve">Namaste, Viviane (2000) </w:t>
      </w:r>
      <w:r w:rsidRPr="00CC62FC">
        <w:rPr>
          <w:i/>
          <w:iCs/>
        </w:rPr>
        <w:t>Invisible lives: the erasure of transsexual and transgendered people</w:t>
      </w:r>
      <w:r w:rsidRPr="00CC62FC">
        <w:t>. Chicago, IL: University of Chicago Press.</w:t>
      </w:r>
    </w:p>
    <w:p w14:paraId="7C8A2BA5" w14:textId="7EC1689E" w:rsidR="002C4C34" w:rsidRPr="00CC62FC" w:rsidRDefault="002C4C34" w:rsidP="00ED690B">
      <w:r w:rsidRPr="00CC62FC">
        <w:t xml:space="preserve">Namaste, Viviane (2009) Undoing theory: the ‘transgender question’ and the epistemic violence of Anglo-American feminist theory. </w:t>
      </w:r>
      <w:proofErr w:type="spellStart"/>
      <w:r w:rsidRPr="00CC62FC">
        <w:rPr>
          <w:i/>
          <w:iCs/>
        </w:rPr>
        <w:t>Hypatia</w:t>
      </w:r>
      <w:proofErr w:type="spellEnd"/>
      <w:r w:rsidRPr="00CC62FC">
        <w:t>, 24(3), 11–32.</w:t>
      </w:r>
    </w:p>
    <w:p w14:paraId="62C2A984" w14:textId="47D894AE" w:rsidR="0026153C" w:rsidRPr="00CC62FC" w:rsidRDefault="0026153C" w:rsidP="00ED690B">
      <w:proofErr w:type="spellStart"/>
      <w:r w:rsidRPr="00CC62FC">
        <w:t>Nordmarken</w:t>
      </w:r>
      <w:proofErr w:type="spellEnd"/>
      <w:r w:rsidRPr="00CC62FC">
        <w:t xml:space="preserve">, Sonny (2014) </w:t>
      </w:r>
      <w:proofErr w:type="spellStart"/>
      <w:r w:rsidRPr="00CC62FC">
        <w:t>Microaggressions</w:t>
      </w:r>
      <w:proofErr w:type="spellEnd"/>
      <w:r w:rsidRPr="00CC62FC">
        <w:t xml:space="preserve">. </w:t>
      </w:r>
      <w:r w:rsidRPr="00CC62FC">
        <w:rPr>
          <w:i/>
          <w:iCs/>
        </w:rPr>
        <w:t>TSQ: Transgender Studies Quarterly</w:t>
      </w:r>
      <w:r w:rsidRPr="00CC62FC">
        <w:t>, 1(1–2), 129–34.</w:t>
      </w:r>
    </w:p>
    <w:p w14:paraId="43B0622C" w14:textId="07BD5C30" w:rsidR="00A33B6E" w:rsidRPr="00CC62FC" w:rsidRDefault="00A33B6E" w:rsidP="002C46DD">
      <w:pPr>
        <w:rPr>
          <w:rFonts w:cs="Arial"/>
          <w:szCs w:val="20"/>
        </w:rPr>
      </w:pPr>
      <w:r w:rsidRPr="00CC62FC">
        <w:rPr>
          <w:rFonts w:cs="Arial"/>
          <w:szCs w:val="20"/>
        </w:rPr>
        <w:t xml:space="preserve">O’Connor, Henrietta, Madge, Claire, Shaw, Robert, &amp; </w:t>
      </w:r>
      <w:proofErr w:type="spellStart"/>
      <w:r w:rsidRPr="00CC62FC">
        <w:rPr>
          <w:rFonts w:cs="Arial"/>
          <w:szCs w:val="20"/>
        </w:rPr>
        <w:t>Wellens</w:t>
      </w:r>
      <w:proofErr w:type="spellEnd"/>
      <w:r w:rsidRPr="00CC62FC">
        <w:rPr>
          <w:rFonts w:cs="Arial"/>
          <w:szCs w:val="20"/>
        </w:rPr>
        <w:t xml:space="preserve">, Jane (2007) </w:t>
      </w:r>
      <w:r w:rsidR="002C46DD" w:rsidRPr="00CC62FC">
        <w:rPr>
          <w:rFonts w:cs="Arial"/>
          <w:szCs w:val="20"/>
        </w:rPr>
        <w:t>Internet-based interviewing. In Fielding, Nigel, Lee, Raymond M., &amp; Blank, Grant (</w:t>
      </w:r>
      <w:proofErr w:type="spellStart"/>
      <w:proofErr w:type="gramStart"/>
      <w:r w:rsidR="002C46DD" w:rsidRPr="00CC62FC">
        <w:rPr>
          <w:rFonts w:cs="Arial"/>
          <w:szCs w:val="20"/>
        </w:rPr>
        <w:t>ed</w:t>
      </w:r>
      <w:proofErr w:type="spellEnd"/>
      <w:proofErr w:type="gramEnd"/>
      <w:r w:rsidR="002C46DD" w:rsidRPr="00CC62FC">
        <w:rPr>
          <w:rFonts w:cs="Arial"/>
          <w:szCs w:val="20"/>
        </w:rPr>
        <w:t xml:space="preserve">), </w:t>
      </w:r>
      <w:r w:rsidR="002C46DD" w:rsidRPr="00CC62FC">
        <w:rPr>
          <w:rFonts w:cs="Arial"/>
          <w:i/>
          <w:iCs/>
          <w:szCs w:val="20"/>
        </w:rPr>
        <w:t>The Sage handbook of online research methods</w:t>
      </w:r>
      <w:r w:rsidR="002C46DD" w:rsidRPr="00CC62FC">
        <w:rPr>
          <w:rFonts w:cs="Arial"/>
          <w:szCs w:val="20"/>
        </w:rPr>
        <w:t xml:space="preserve">. London: Sage, 271–90. </w:t>
      </w:r>
    </w:p>
    <w:p w14:paraId="74F02BF6" w14:textId="64FF87F1" w:rsidR="002C4C34" w:rsidRPr="00CC62FC" w:rsidRDefault="002C4C34" w:rsidP="00FE03E4">
      <w:pPr>
        <w:rPr>
          <w:rFonts w:cs="Arial"/>
          <w:szCs w:val="20"/>
        </w:rPr>
      </w:pPr>
      <w:r w:rsidRPr="00CC62FC">
        <w:rPr>
          <w:rFonts w:cs="Arial"/>
          <w:szCs w:val="20"/>
        </w:rPr>
        <w:t xml:space="preserve">Prosser, Jay (1998) </w:t>
      </w:r>
      <w:r w:rsidRPr="00CC62FC">
        <w:rPr>
          <w:rFonts w:cs="Arial"/>
          <w:i/>
          <w:iCs/>
          <w:szCs w:val="20"/>
        </w:rPr>
        <w:t xml:space="preserve">Second skins: the body narratives of </w:t>
      </w:r>
      <w:proofErr w:type="spellStart"/>
      <w:r w:rsidRPr="00CC62FC">
        <w:rPr>
          <w:rFonts w:cs="Arial"/>
          <w:i/>
          <w:iCs/>
          <w:szCs w:val="20"/>
        </w:rPr>
        <w:t>transsexuality</w:t>
      </w:r>
      <w:proofErr w:type="spellEnd"/>
      <w:r w:rsidRPr="00CC62FC">
        <w:rPr>
          <w:rFonts w:cs="Arial"/>
          <w:szCs w:val="20"/>
        </w:rPr>
        <w:t>. New York: Columbia University Press.</w:t>
      </w:r>
    </w:p>
    <w:p w14:paraId="3F6EDB33" w14:textId="32A52254" w:rsidR="00FE03E4" w:rsidRPr="00CC62FC" w:rsidRDefault="00FE03E4" w:rsidP="00FE03E4">
      <w:pPr>
        <w:rPr>
          <w:szCs w:val="24"/>
        </w:rPr>
      </w:pPr>
      <w:r w:rsidRPr="00CC62FC">
        <w:rPr>
          <w:rFonts w:cs="Arial"/>
          <w:szCs w:val="20"/>
        </w:rPr>
        <w:t>Pugh, E</w:t>
      </w:r>
      <w:r w:rsidR="00887965" w:rsidRPr="00CC62FC">
        <w:rPr>
          <w:rFonts w:cs="Arial"/>
          <w:szCs w:val="20"/>
        </w:rPr>
        <w:t>llen (2010)</w:t>
      </w:r>
      <w:r w:rsidRPr="00CC62FC">
        <w:rPr>
          <w:rFonts w:cs="Arial"/>
          <w:szCs w:val="20"/>
        </w:rPr>
        <w:t xml:space="preserve"> </w:t>
      </w:r>
      <w:proofErr w:type="gramStart"/>
      <w:r w:rsidRPr="00CC62FC">
        <w:rPr>
          <w:rFonts w:cs="Arial"/>
          <w:i/>
          <w:iCs/>
          <w:szCs w:val="20"/>
        </w:rPr>
        <w:t>Trans</w:t>
      </w:r>
      <w:proofErr w:type="gramEnd"/>
      <w:r w:rsidRPr="00CC62FC">
        <w:rPr>
          <w:rFonts w:cs="Arial"/>
          <w:i/>
          <w:iCs/>
          <w:szCs w:val="20"/>
        </w:rPr>
        <w:t xml:space="preserve"> staff and students in higher education</w:t>
      </w:r>
      <w:r w:rsidRPr="00CC62FC">
        <w:rPr>
          <w:rFonts w:cs="Arial"/>
          <w:szCs w:val="20"/>
        </w:rPr>
        <w:t xml:space="preserve">. London: Equality Challenge Unit. Available online: </w:t>
      </w:r>
      <w:hyperlink r:id="rId21" w:history="1">
        <w:r w:rsidRPr="00CC62FC">
          <w:rPr>
            <w:rStyle w:val="Hyperlink"/>
            <w:rFonts w:cs="Arial"/>
            <w:szCs w:val="20"/>
          </w:rPr>
          <w:t>http://www.ecu.ac.uk/wp-content/uploads/external/trans-staff-and-students-in-he-revised-2010.pdf</w:t>
        </w:r>
      </w:hyperlink>
      <w:r w:rsidRPr="00CC62FC">
        <w:rPr>
          <w:rFonts w:cs="Arial"/>
          <w:szCs w:val="20"/>
        </w:rPr>
        <w:t xml:space="preserve"> [accessed 27/11/2015].</w:t>
      </w:r>
    </w:p>
    <w:p w14:paraId="65D5DF82" w14:textId="533B2152" w:rsidR="00EC1CFF" w:rsidRPr="00CC62FC" w:rsidRDefault="00EC1CFF" w:rsidP="00125302">
      <w:pPr>
        <w:rPr>
          <w:szCs w:val="24"/>
        </w:rPr>
      </w:pPr>
      <w:r w:rsidRPr="00CC62FC">
        <w:rPr>
          <w:szCs w:val="24"/>
        </w:rPr>
        <w:t xml:space="preserve">Reis, Elizabeth (2004) Teaching transgender history, identity, and politics. </w:t>
      </w:r>
      <w:r w:rsidRPr="00CC62FC">
        <w:rPr>
          <w:i/>
          <w:iCs/>
          <w:szCs w:val="24"/>
        </w:rPr>
        <w:t>Radical History Review</w:t>
      </w:r>
      <w:r w:rsidRPr="00CC62FC">
        <w:rPr>
          <w:szCs w:val="24"/>
        </w:rPr>
        <w:t>, 88, 166–77.</w:t>
      </w:r>
    </w:p>
    <w:p w14:paraId="1088231B" w14:textId="69E68608" w:rsidR="00125302" w:rsidRPr="00CC62FC" w:rsidRDefault="00125302" w:rsidP="00125302">
      <w:pPr>
        <w:rPr>
          <w:szCs w:val="24"/>
        </w:rPr>
      </w:pPr>
      <w:r w:rsidRPr="00CC62FC">
        <w:rPr>
          <w:szCs w:val="24"/>
        </w:rPr>
        <w:t xml:space="preserve">Sadler, Bess, &amp; Bourg, Chris (2015) Feminism and the future of library discovery, </w:t>
      </w:r>
      <w:r w:rsidRPr="00CC62FC">
        <w:rPr>
          <w:i/>
          <w:iCs/>
          <w:szCs w:val="24"/>
        </w:rPr>
        <w:t>Code4Lib Journal</w:t>
      </w:r>
      <w:r w:rsidRPr="00CC62FC">
        <w:rPr>
          <w:szCs w:val="24"/>
        </w:rPr>
        <w:t xml:space="preserve">, 28. Available online: </w:t>
      </w:r>
      <w:hyperlink r:id="rId22" w:history="1">
        <w:r w:rsidRPr="00CC62FC">
          <w:rPr>
            <w:rStyle w:val="Hyperlink"/>
            <w:color w:val="auto"/>
            <w:szCs w:val="24"/>
          </w:rPr>
          <w:t>http://journal.code4lib.org/articles/10425</w:t>
        </w:r>
      </w:hyperlink>
      <w:r w:rsidRPr="00CC62FC">
        <w:rPr>
          <w:szCs w:val="24"/>
        </w:rPr>
        <w:t xml:space="preserve"> [Accessed 26/11/2015]. </w:t>
      </w:r>
    </w:p>
    <w:p w14:paraId="68DC1C47" w14:textId="67210270" w:rsidR="00FE03E4" w:rsidRPr="00CC62FC" w:rsidRDefault="00FE03E4" w:rsidP="00FE03E4">
      <w:pPr>
        <w:rPr>
          <w:szCs w:val="24"/>
        </w:rPr>
      </w:pPr>
      <w:proofErr w:type="spellStart"/>
      <w:r w:rsidRPr="00CC62FC">
        <w:rPr>
          <w:szCs w:val="24"/>
        </w:rPr>
        <w:t>Serano</w:t>
      </w:r>
      <w:proofErr w:type="spellEnd"/>
      <w:r w:rsidRPr="00CC62FC">
        <w:rPr>
          <w:szCs w:val="24"/>
        </w:rPr>
        <w:t xml:space="preserve">, Julia (2007) </w:t>
      </w:r>
      <w:r w:rsidRPr="00CC62FC">
        <w:rPr>
          <w:i/>
          <w:iCs/>
          <w:szCs w:val="24"/>
        </w:rPr>
        <w:t>Whipping girl: a transsexual woman on sexism and the scapegoating of femininity</w:t>
      </w:r>
      <w:r w:rsidRPr="00CC62FC">
        <w:rPr>
          <w:szCs w:val="24"/>
        </w:rPr>
        <w:t>. Berkeley, CA: Seal Press.</w:t>
      </w:r>
    </w:p>
    <w:p w14:paraId="4C054493" w14:textId="11EF7BBD" w:rsidR="007D1813" w:rsidRPr="00CC62FC" w:rsidRDefault="007D1813" w:rsidP="00FE03E4">
      <w:pPr>
        <w:rPr>
          <w:szCs w:val="24"/>
        </w:rPr>
      </w:pPr>
      <w:r w:rsidRPr="00CC62FC">
        <w:rPr>
          <w:szCs w:val="24"/>
        </w:rPr>
        <w:t xml:space="preserve">Shaw, Jenny, Brain, Kevin, Bridger, Kath, Foreman, Judith, &amp; Reid, Ivan (2007) </w:t>
      </w:r>
      <w:r w:rsidRPr="00CC62FC">
        <w:rPr>
          <w:i/>
          <w:iCs/>
          <w:szCs w:val="24"/>
        </w:rPr>
        <w:t>Embedding widening participation and promoting student diversity: what can be learned from a business case approach</w:t>
      </w:r>
      <w:proofErr w:type="gramStart"/>
      <w:r w:rsidRPr="00CC62FC">
        <w:rPr>
          <w:i/>
          <w:iCs/>
          <w:szCs w:val="24"/>
        </w:rPr>
        <w:t>?</w:t>
      </w:r>
      <w:r w:rsidRPr="00CC62FC">
        <w:rPr>
          <w:szCs w:val="24"/>
        </w:rPr>
        <w:t>.</w:t>
      </w:r>
      <w:proofErr w:type="gramEnd"/>
      <w:r w:rsidRPr="00CC62FC">
        <w:rPr>
          <w:szCs w:val="24"/>
        </w:rPr>
        <w:t xml:space="preserve"> York: Higher Education Academy. Available online: </w:t>
      </w:r>
      <w:hyperlink r:id="rId23" w:history="1">
        <w:r w:rsidRPr="00CC62FC">
          <w:rPr>
            <w:rStyle w:val="Hyperlink"/>
            <w:szCs w:val="24"/>
          </w:rPr>
          <w:t>https://www.heacademy.ac.uk/sites/default/files/resources/embedding_wp_business_case_approach_july07.pdf</w:t>
        </w:r>
      </w:hyperlink>
      <w:r w:rsidRPr="00CC62FC">
        <w:rPr>
          <w:szCs w:val="24"/>
        </w:rPr>
        <w:t xml:space="preserve"> [Accessed 28/11/2015].</w:t>
      </w:r>
    </w:p>
    <w:p w14:paraId="7B43F900" w14:textId="76A8295F" w:rsidR="00B56B55" w:rsidRPr="00CC62FC" w:rsidRDefault="00B56B55" w:rsidP="00B56B55">
      <w:pPr>
        <w:rPr>
          <w:rFonts w:cs="Arial"/>
          <w:szCs w:val="20"/>
        </w:rPr>
      </w:pPr>
      <w:r w:rsidRPr="00CC62FC">
        <w:rPr>
          <w:rFonts w:cs="Arial"/>
          <w:szCs w:val="20"/>
        </w:rPr>
        <w:t xml:space="preserve">Spade, Dean (2012) </w:t>
      </w:r>
      <w:r w:rsidRPr="00CC62FC">
        <w:t xml:space="preserve">Some very basic tips for making higher education more accessible to trans students and rethinking how we talk about gendered bodies. </w:t>
      </w:r>
      <w:r w:rsidRPr="00CC62FC">
        <w:rPr>
          <w:i/>
        </w:rPr>
        <w:t>The Radical Teacher</w:t>
      </w:r>
      <w:r w:rsidRPr="00CC62FC">
        <w:t xml:space="preserve">, 92, 57–62. </w:t>
      </w:r>
    </w:p>
    <w:p w14:paraId="2CC160F0" w14:textId="00ABD013" w:rsidR="00FE03E4" w:rsidRPr="00CC62FC" w:rsidRDefault="00FE03E4" w:rsidP="00FE03E4">
      <w:pPr>
        <w:rPr>
          <w:szCs w:val="24"/>
        </w:rPr>
      </w:pPr>
      <w:r w:rsidRPr="00CC62FC">
        <w:rPr>
          <w:szCs w:val="24"/>
        </w:rPr>
        <w:t xml:space="preserve">Steinmetz, Katy (2014) </w:t>
      </w:r>
      <w:proofErr w:type="gramStart"/>
      <w:r w:rsidRPr="00CC62FC">
        <w:rPr>
          <w:szCs w:val="24"/>
        </w:rPr>
        <w:t>The</w:t>
      </w:r>
      <w:proofErr w:type="gramEnd"/>
      <w:r w:rsidRPr="00CC62FC">
        <w:rPr>
          <w:szCs w:val="24"/>
        </w:rPr>
        <w:t xml:space="preserve"> transgender tipping point. </w:t>
      </w:r>
      <w:r w:rsidRPr="00CC62FC">
        <w:rPr>
          <w:i/>
          <w:iCs/>
          <w:szCs w:val="24"/>
        </w:rPr>
        <w:t>Time</w:t>
      </w:r>
      <w:r w:rsidRPr="00CC62FC">
        <w:rPr>
          <w:szCs w:val="24"/>
        </w:rPr>
        <w:t xml:space="preserve">, 29 May. Available online: </w:t>
      </w:r>
      <w:hyperlink r:id="rId24" w:history="1">
        <w:r w:rsidRPr="00CC62FC">
          <w:rPr>
            <w:rStyle w:val="Hyperlink"/>
            <w:szCs w:val="24"/>
          </w:rPr>
          <w:t>http://time.com/135480/transgender-tipping-point/</w:t>
        </w:r>
      </w:hyperlink>
      <w:r w:rsidRPr="00CC62FC">
        <w:rPr>
          <w:szCs w:val="24"/>
        </w:rPr>
        <w:t xml:space="preserve"> [Accessed 27/11/2015].</w:t>
      </w:r>
    </w:p>
    <w:p w14:paraId="51219281" w14:textId="133A609F" w:rsidR="001E1F38" w:rsidRPr="00CC62FC" w:rsidRDefault="001E1F38" w:rsidP="00125302">
      <w:pPr>
        <w:rPr>
          <w:szCs w:val="24"/>
        </w:rPr>
      </w:pPr>
      <w:r w:rsidRPr="00CC62FC">
        <w:rPr>
          <w:szCs w:val="24"/>
        </w:rPr>
        <w:t xml:space="preserve">Stryker, Susan (2008) </w:t>
      </w:r>
      <w:r w:rsidRPr="00CC62FC">
        <w:rPr>
          <w:i/>
          <w:iCs/>
          <w:szCs w:val="24"/>
        </w:rPr>
        <w:t>Transgender history</w:t>
      </w:r>
      <w:r w:rsidRPr="00CC62FC">
        <w:rPr>
          <w:szCs w:val="24"/>
        </w:rPr>
        <w:t>. Berkeley, CA: Seal Press.</w:t>
      </w:r>
    </w:p>
    <w:p w14:paraId="508B371D" w14:textId="77777777" w:rsidR="005A3470" w:rsidRPr="00CC62FC" w:rsidRDefault="001E1F38" w:rsidP="001E1F38">
      <w:pPr>
        <w:rPr>
          <w:szCs w:val="24"/>
        </w:rPr>
      </w:pPr>
      <w:r w:rsidRPr="00CC62FC">
        <w:rPr>
          <w:szCs w:val="24"/>
        </w:rPr>
        <w:t>Stryker, Susan, and Whittle, Stephen (</w:t>
      </w:r>
      <w:proofErr w:type="spellStart"/>
      <w:proofErr w:type="gramStart"/>
      <w:r w:rsidRPr="00CC62FC">
        <w:rPr>
          <w:szCs w:val="24"/>
        </w:rPr>
        <w:t>ed</w:t>
      </w:r>
      <w:proofErr w:type="spellEnd"/>
      <w:proofErr w:type="gramEnd"/>
      <w:r w:rsidRPr="00CC62FC">
        <w:rPr>
          <w:szCs w:val="24"/>
        </w:rPr>
        <w:t xml:space="preserve">) (2006) </w:t>
      </w:r>
      <w:r w:rsidRPr="00CC62FC">
        <w:rPr>
          <w:i/>
          <w:iCs/>
          <w:szCs w:val="24"/>
        </w:rPr>
        <w:t>The transgender studies reader</w:t>
      </w:r>
      <w:r w:rsidRPr="00CC62FC">
        <w:rPr>
          <w:szCs w:val="24"/>
        </w:rPr>
        <w:t>.</w:t>
      </w:r>
      <w:r w:rsidR="005A3470" w:rsidRPr="00CC62FC">
        <w:rPr>
          <w:szCs w:val="24"/>
        </w:rPr>
        <w:t xml:space="preserve"> London and New York: </w:t>
      </w:r>
      <w:proofErr w:type="spellStart"/>
      <w:r w:rsidR="005A3470" w:rsidRPr="00CC62FC">
        <w:rPr>
          <w:szCs w:val="24"/>
        </w:rPr>
        <w:t>Routledge</w:t>
      </w:r>
      <w:proofErr w:type="spellEnd"/>
      <w:r w:rsidR="005A3470" w:rsidRPr="00CC62FC">
        <w:rPr>
          <w:szCs w:val="24"/>
        </w:rPr>
        <w:t>.</w:t>
      </w:r>
    </w:p>
    <w:p w14:paraId="3EE0E954" w14:textId="3F70BAFF" w:rsidR="0026153C" w:rsidRPr="00CC62FC" w:rsidRDefault="0026153C" w:rsidP="0026153C">
      <w:pPr>
        <w:rPr>
          <w:szCs w:val="24"/>
        </w:rPr>
      </w:pPr>
      <w:r w:rsidRPr="00CC62FC">
        <w:rPr>
          <w:szCs w:val="24"/>
        </w:rPr>
        <w:t xml:space="preserve">Sue, </w:t>
      </w:r>
      <w:proofErr w:type="spellStart"/>
      <w:r w:rsidRPr="00CC62FC">
        <w:rPr>
          <w:szCs w:val="24"/>
        </w:rPr>
        <w:t>Derald</w:t>
      </w:r>
      <w:proofErr w:type="spellEnd"/>
      <w:r w:rsidRPr="00CC62FC">
        <w:rPr>
          <w:szCs w:val="24"/>
        </w:rPr>
        <w:t xml:space="preserve"> Wing, </w:t>
      </w:r>
      <w:proofErr w:type="spellStart"/>
      <w:r w:rsidRPr="00CC62FC">
        <w:rPr>
          <w:szCs w:val="24"/>
        </w:rPr>
        <w:t>Capodilupo</w:t>
      </w:r>
      <w:proofErr w:type="spellEnd"/>
      <w:r w:rsidRPr="00CC62FC">
        <w:rPr>
          <w:szCs w:val="24"/>
        </w:rPr>
        <w:t xml:space="preserve">, Christina M., Torino, Gina C., </w:t>
      </w:r>
      <w:proofErr w:type="spellStart"/>
      <w:r w:rsidRPr="00CC62FC">
        <w:rPr>
          <w:szCs w:val="24"/>
        </w:rPr>
        <w:t>Bucceri</w:t>
      </w:r>
      <w:proofErr w:type="spellEnd"/>
      <w:r w:rsidRPr="00CC62FC">
        <w:rPr>
          <w:szCs w:val="24"/>
        </w:rPr>
        <w:t xml:space="preserve">, Jennifer M., Holder, Aisha M. B., </w:t>
      </w:r>
      <w:proofErr w:type="spellStart"/>
      <w:r w:rsidRPr="00CC62FC">
        <w:rPr>
          <w:szCs w:val="24"/>
        </w:rPr>
        <w:t>Nadal</w:t>
      </w:r>
      <w:proofErr w:type="spellEnd"/>
      <w:r w:rsidRPr="00CC62FC">
        <w:rPr>
          <w:szCs w:val="24"/>
        </w:rPr>
        <w:t xml:space="preserve">, Kevin L., &amp; </w:t>
      </w:r>
      <w:proofErr w:type="spellStart"/>
      <w:r w:rsidRPr="00CC62FC">
        <w:rPr>
          <w:szCs w:val="24"/>
        </w:rPr>
        <w:t>Esquilin</w:t>
      </w:r>
      <w:proofErr w:type="spellEnd"/>
      <w:r w:rsidRPr="00CC62FC">
        <w:rPr>
          <w:szCs w:val="24"/>
        </w:rPr>
        <w:t xml:space="preserve">, Marta (2007) Racial </w:t>
      </w:r>
      <w:proofErr w:type="spellStart"/>
      <w:r w:rsidRPr="00CC62FC">
        <w:rPr>
          <w:szCs w:val="24"/>
        </w:rPr>
        <w:t>microaggressions</w:t>
      </w:r>
      <w:proofErr w:type="spellEnd"/>
      <w:r w:rsidRPr="00CC62FC">
        <w:rPr>
          <w:szCs w:val="24"/>
        </w:rPr>
        <w:t xml:space="preserve"> in everyday life: implications for clinical practice. </w:t>
      </w:r>
      <w:r w:rsidRPr="00CC62FC">
        <w:rPr>
          <w:i/>
          <w:iCs/>
          <w:szCs w:val="24"/>
        </w:rPr>
        <w:t>American Psychologist</w:t>
      </w:r>
      <w:r w:rsidRPr="00CC62FC">
        <w:rPr>
          <w:szCs w:val="24"/>
        </w:rPr>
        <w:t xml:space="preserve">, 62(4), 271–86. </w:t>
      </w:r>
    </w:p>
    <w:p w14:paraId="383ED473" w14:textId="7F79A3E2" w:rsidR="00307BDC" w:rsidRPr="00CC62FC" w:rsidRDefault="00307BDC" w:rsidP="00307BDC">
      <w:pPr>
        <w:rPr>
          <w:szCs w:val="24"/>
        </w:rPr>
      </w:pPr>
      <w:r w:rsidRPr="00CC62FC">
        <w:rPr>
          <w:szCs w:val="24"/>
        </w:rPr>
        <w:t xml:space="preserve">Sue, Valerie M., &amp; Ritter, Lois A. (2007) </w:t>
      </w:r>
      <w:r w:rsidRPr="00CC62FC">
        <w:rPr>
          <w:i/>
          <w:iCs/>
          <w:szCs w:val="24"/>
        </w:rPr>
        <w:t>Conducting online surveys</w:t>
      </w:r>
      <w:r w:rsidRPr="00CC62FC">
        <w:rPr>
          <w:szCs w:val="24"/>
        </w:rPr>
        <w:t xml:space="preserve">. London: Sage. </w:t>
      </w:r>
    </w:p>
    <w:p w14:paraId="07FE5714" w14:textId="5AC985B1" w:rsidR="001E1F38" w:rsidRPr="00CC62FC" w:rsidRDefault="005A3470" w:rsidP="001E1F38">
      <w:pPr>
        <w:rPr>
          <w:szCs w:val="24"/>
        </w:rPr>
      </w:pPr>
      <w:r w:rsidRPr="00CC62FC">
        <w:rPr>
          <w:szCs w:val="24"/>
        </w:rPr>
        <w:t xml:space="preserve">UK Trans Info (2015) </w:t>
      </w:r>
      <w:r w:rsidRPr="00CC62FC">
        <w:rPr>
          <w:i/>
          <w:iCs/>
          <w:szCs w:val="24"/>
        </w:rPr>
        <w:t>Results of terminology survey</w:t>
      </w:r>
      <w:r w:rsidRPr="00CC62FC">
        <w:rPr>
          <w:szCs w:val="24"/>
        </w:rPr>
        <w:t xml:space="preserve">. UK Trans Info. Available online: </w:t>
      </w:r>
      <w:hyperlink r:id="rId25" w:history="1">
        <w:r w:rsidRPr="00CC62FC">
          <w:rPr>
            <w:rStyle w:val="Hyperlink"/>
            <w:szCs w:val="24"/>
          </w:rPr>
          <w:t>http://uktrans.info/attachments/article/377/terminology-survey-results.pdf</w:t>
        </w:r>
      </w:hyperlink>
      <w:r w:rsidRPr="00CC62FC">
        <w:rPr>
          <w:szCs w:val="24"/>
        </w:rPr>
        <w:t xml:space="preserve"> [accessed 28/11/2015].</w:t>
      </w:r>
      <w:r w:rsidR="001E1F38" w:rsidRPr="00CC62FC">
        <w:rPr>
          <w:szCs w:val="24"/>
        </w:rPr>
        <w:t xml:space="preserve"> </w:t>
      </w:r>
    </w:p>
    <w:p w14:paraId="608C213C" w14:textId="5813104B" w:rsidR="00887965" w:rsidRPr="00CC62FC" w:rsidRDefault="00887965" w:rsidP="00ED690B">
      <w:pPr>
        <w:rPr>
          <w:rFonts w:cs="Arial"/>
          <w:szCs w:val="20"/>
        </w:rPr>
      </w:pPr>
      <w:r w:rsidRPr="00CC62FC">
        <w:rPr>
          <w:rFonts w:cs="Arial"/>
          <w:szCs w:val="20"/>
        </w:rPr>
        <w:t>Valentine, G</w:t>
      </w:r>
      <w:r w:rsidR="00ED690B" w:rsidRPr="00CC62FC">
        <w:rPr>
          <w:rFonts w:cs="Arial"/>
          <w:szCs w:val="20"/>
        </w:rPr>
        <w:t xml:space="preserve">ill, Wood, </w:t>
      </w:r>
      <w:proofErr w:type="spellStart"/>
      <w:r w:rsidR="00ED690B" w:rsidRPr="00CC62FC">
        <w:rPr>
          <w:rFonts w:cs="Arial"/>
          <w:szCs w:val="20"/>
        </w:rPr>
        <w:t>Nichola</w:t>
      </w:r>
      <w:proofErr w:type="spellEnd"/>
      <w:r w:rsidRPr="00CC62FC">
        <w:rPr>
          <w:rFonts w:cs="Arial"/>
          <w:szCs w:val="20"/>
        </w:rPr>
        <w:t>, and Plummer, P</w:t>
      </w:r>
      <w:r w:rsidR="00ED690B" w:rsidRPr="00CC62FC">
        <w:rPr>
          <w:rFonts w:cs="Arial"/>
          <w:szCs w:val="20"/>
        </w:rPr>
        <w:t>aul</w:t>
      </w:r>
      <w:r w:rsidR="00D85AE8" w:rsidRPr="00CC62FC">
        <w:rPr>
          <w:rFonts w:cs="Arial"/>
          <w:szCs w:val="20"/>
        </w:rPr>
        <w:t xml:space="preserve"> (2009)</w:t>
      </w:r>
      <w:r w:rsidR="00ED690B" w:rsidRPr="00CC62FC">
        <w:rPr>
          <w:rFonts w:cs="Arial"/>
          <w:szCs w:val="20"/>
        </w:rPr>
        <w:t xml:space="preserve">. </w:t>
      </w:r>
      <w:r w:rsidRPr="00CC62FC">
        <w:rPr>
          <w:rFonts w:cs="Arial"/>
          <w:i/>
          <w:iCs/>
          <w:szCs w:val="20"/>
        </w:rPr>
        <w:t xml:space="preserve">The experience of lesbian, gay, bisexual and </w:t>
      </w:r>
      <w:proofErr w:type="gramStart"/>
      <w:r w:rsidRPr="00CC62FC">
        <w:rPr>
          <w:rFonts w:cs="Arial"/>
          <w:i/>
          <w:iCs/>
          <w:szCs w:val="20"/>
        </w:rPr>
        <w:t>trans</w:t>
      </w:r>
      <w:proofErr w:type="gramEnd"/>
      <w:r w:rsidRPr="00CC62FC">
        <w:rPr>
          <w:rFonts w:cs="Arial"/>
          <w:i/>
          <w:iCs/>
          <w:szCs w:val="20"/>
        </w:rPr>
        <w:t xml:space="preserve"> staff a</w:t>
      </w:r>
      <w:r w:rsidR="00ED690B" w:rsidRPr="00CC62FC">
        <w:rPr>
          <w:rFonts w:cs="Arial"/>
          <w:i/>
          <w:iCs/>
          <w:szCs w:val="20"/>
        </w:rPr>
        <w:t>nd students in higher education</w:t>
      </w:r>
      <w:r w:rsidRPr="00CC62FC">
        <w:rPr>
          <w:rFonts w:cs="Arial"/>
          <w:szCs w:val="20"/>
        </w:rPr>
        <w:t xml:space="preserve">. London: Equality Challenge Unit. Available online: </w:t>
      </w:r>
      <w:hyperlink r:id="rId26" w:history="1">
        <w:r w:rsidRPr="00CC62FC">
          <w:rPr>
            <w:rStyle w:val="Hyperlink"/>
            <w:rFonts w:cs="Arial"/>
            <w:szCs w:val="20"/>
          </w:rPr>
          <w:t>http://www.ecu.ac.uk/wp-content/uploads/external/Experiences-of-lgbt-staff-and-students-in-he.doc</w:t>
        </w:r>
      </w:hyperlink>
      <w:r w:rsidRPr="00CC62FC">
        <w:rPr>
          <w:rFonts w:cs="Arial"/>
          <w:szCs w:val="20"/>
        </w:rPr>
        <w:t xml:space="preserve"> </w:t>
      </w:r>
      <w:r w:rsidR="00ED690B" w:rsidRPr="00CC62FC">
        <w:rPr>
          <w:rFonts w:cs="Arial"/>
          <w:szCs w:val="20"/>
        </w:rPr>
        <w:t>[accessed 27/11/2015]</w:t>
      </w:r>
      <w:r w:rsidRPr="00CC62FC">
        <w:rPr>
          <w:rFonts w:cs="Arial"/>
          <w:szCs w:val="20"/>
        </w:rPr>
        <w:t xml:space="preserve">. </w:t>
      </w:r>
    </w:p>
    <w:p w14:paraId="4A36AC82" w14:textId="62119E28" w:rsidR="00BE73FF" w:rsidRPr="00CC62FC" w:rsidRDefault="00BE73FF" w:rsidP="00ED690B">
      <w:pPr>
        <w:rPr>
          <w:rFonts w:cs="Arial"/>
          <w:szCs w:val="20"/>
        </w:rPr>
      </w:pPr>
      <w:r w:rsidRPr="00CC62FC">
        <w:rPr>
          <w:rFonts w:cs="Arial"/>
          <w:szCs w:val="20"/>
        </w:rPr>
        <w:t xml:space="preserve">Williams, </w:t>
      </w:r>
      <w:proofErr w:type="spellStart"/>
      <w:r w:rsidRPr="00CC62FC">
        <w:rPr>
          <w:rFonts w:cs="Arial"/>
          <w:szCs w:val="20"/>
        </w:rPr>
        <w:t>Cristan</w:t>
      </w:r>
      <w:proofErr w:type="spellEnd"/>
      <w:r w:rsidRPr="00CC62FC">
        <w:rPr>
          <w:rFonts w:cs="Arial"/>
          <w:szCs w:val="20"/>
        </w:rPr>
        <w:t xml:space="preserve"> (2014) Gender performance: </w:t>
      </w:r>
      <w:r w:rsidRPr="00CC62FC">
        <w:rPr>
          <w:rFonts w:cs="Arial"/>
          <w:i/>
          <w:iCs/>
          <w:szCs w:val="20"/>
        </w:rPr>
        <w:t xml:space="preserve">The </w:t>
      </w:r>
      <w:proofErr w:type="spellStart"/>
      <w:r w:rsidRPr="00CC62FC">
        <w:rPr>
          <w:rFonts w:cs="Arial"/>
          <w:i/>
          <w:iCs/>
          <w:szCs w:val="20"/>
        </w:rPr>
        <w:t>Transadvocate</w:t>
      </w:r>
      <w:proofErr w:type="spellEnd"/>
      <w:r w:rsidRPr="00CC62FC">
        <w:rPr>
          <w:rFonts w:cs="Arial"/>
          <w:szCs w:val="20"/>
        </w:rPr>
        <w:t xml:space="preserve"> interviews Judith Butler. </w:t>
      </w:r>
      <w:r w:rsidRPr="00CC62FC">
        <w:rPr>
          <w:rFonts w:cs="Arial"/>
          <w:i/>
          <w:iCs/>
          <w:szCs w:val="20"/>
        </w:rPr>
        <w:t xml:space="preserve">The </w:t>
      </w:r>
      <w:proofErr w:type="spellStart"/>
      <w:r w:rsidRPr="00CC62FC">
        <w:rPr>
          <w:rFonts w:cs="Arial"/>
          <w:i/>
          <w:iCs/>
          <w:szCs w:val="20"/>
        </w:rPr>
        <w:t>Transadvocate</w:t>
      </w:r>
      <w:proofErr w:type="spellEnd"/>
      <w:r w:rsidRPr="00CC62FC">
        <w:rPr>
          <w:rFonts w:cs="Arial"/>
          <w:szCs w:val="20"/>
        </w:rPr>
        <w:t xml:space="preserve">, 1 May. Available online: </w:t>
      </w:r>
      <w:hyperlink r:id="rId27" w:history="1">
        <w:r w:rsidRPr="00CC62FC">
          <w:rPr>
            <w:rStyle w:val="Hyperlink"/>
            <w:rFonts w:cs="Arial"/>
            <w:szCs w:val="20"/>
          </w:rPr>
          <w:t>http://www.transadvocate.com/gender-performance-the-transadvocate-interviews-judith-butler_n_13652.htm</w:t>
        </w:r>
      </w:hyperlink>
      <w:r w:rsidRPr="00CC62FC">
        <w:rPr>
          <w:rFonts w:cs="Arial"/>
          <w:szCs w:val="20"/>
        </w:rPr>
        <w:t xml:space="preserve"> [accessed 28/11/2015].</w:t>
      </w:r>
    </w:p>
    <w:p w14:paraId="69AB5C50" w14:textId="77777777" w:rsidR="00A934DC" w:rsidRPr="00CC62FC" w:rsidRDefault="00A934DC" w:rsidP="00125302">
      <w:pPr>
        <w:rPr>
          <w:szCs w:val="24"/>
        </w:rPr>
      </w:pPr>
    </w:p>
    <w:p w14:paraId="1474C4B0" w14:textId="735A5E12" w:rsidR="00AE0AF5" w:rsidRDefault="00AE0AF5" w:rsidP="00AE0AF5">
      <w:pPr>
        <w:rPr>
          <w:rFonts w:cs="Arial"/>
          <w:b/>
          <w:bCs/>
          <w:szCs w:val="24"/>
        </w:rPr>
      </w:pPr>
      <w:r>
        <w:rPr>
          <w:rFonts w:cs="Arial"/>
          <w:b/>
          <w:bCs/>
          <w:szCs w:val="24"/>
        </w:rPr>
        <w:t>Appendix 1: Hypotheses and methodology</w:t>
      </w:r>
    </w:p>
    <w:p w14:paraId="3EAFA504" w14:textId="77777777" w:rsidR="00AE0AF5" w:rsidRDefault="00AE0AF5" w:rsidP="00AE0AF5">
      <w:pPr>
        <w:rPr>
          <w:rFonts w:cs="Arial"/>
          <w:b/>
          <w:bCs/>
          <w:szCs w:val="24"/>
        </w:rPr>
      </w:pPr>
    </w:p>
    <w:p w14:paraId="2DF955E9" w14:textId="4A1CCC7F" w:rsidR="00AE0AF5" w:rsidRPr="00CC62FC" w:rsidRDefault="00AE0AF5" w:rsidP="00AE0AF5">
      <w:pPr>
        <w:rPr>
          <w:rFonts w:cs="Arial"/>
          <w:szCs w:val="20"/>
        </w:rPr>
      </w:pPr>
      <w:r w:rsidRPr="00CC62FC">
        <w:rPr>
          <w:rFonts w:cs="Arial"/>
          <w:szCs w:val="20"/>
        </w:rPr>
        <w:t xml:space="preserve">As a qualitative online study, </w:t>
      </w:r>
      <w:r>
        <w:rPr>
          <w:rFonts w:cs="Arial"/>
          <w:szCs w:val="20"/>
        </w:rPr>
        <w:t>this survey’s</w:t>
      </w:r>
      <w:r w:rsidRPr="00CC62FC">
        <w:rPr>
          <w:rFonts w:cs="Arial"/>
          <w:szCs w:val="20"/>
        </w:rPr>
        <w:t xml:space="preserve"> methodology adapted the open-response elements of the research design used by Sonja Ellis (2009) in studying UK LGBT students’ perceptions of harassment and discrimination. Unlike Ellis, however, it did not attempt to draw quantitative conclusions and did not utilise </w:t>
      </w:r>
      <w:proofErr w:type="spellStart"/>
      <w:r w:rsidRPr="00CC62FC">
        <w:rPr>
          <w:rFonts w:cs="Arial"/>
          <w:szCs w:val="20"/>
        </w:rPr>
        <w:t>Likert</w:t>
      </w:r>
      <w:proofErr w:type="spellEnd"/>
      <w:r w:rsidRPr="00CC62FC">
        <w:rPr>
          <w:rFonts w:cs="Arial"/>
          <w:szCs w:val="20"/>
        </w:rPr>
        <w:t xml:space="preserve"> scales; it instead aimed to elicit narratives about teaching and learning using a series of prompts asking respondents about their curriculum content, classroom dynamics and institutional environment. While open-ended questions are known to attract lower response rates than closed questions in online survey research, they do not restrict respondents to the categories designed by the researcher and thus, as evidence about perceptions, generate more accurate data (Sue and Ritter 2007: 43–4). They also permit participants to draw complex conceptual connections as they respond, making them an important complement to larger-scale qualitative surveys. </w:t>
      </w:r>
    </w:p>
    <w:p w14:paraId="5161A82E" w14:textId="77777777" w:rsidR="00AE0AF5" w:rsidRPr="00CC62FC" w:rsidRDefault="00AE0AF5" w:rsidP="00AE0AF5">
      <w:pPr>
        <w:ind w:firstLine="284"/>
        <w:rPr>
          <w:rFonts w:cs="Arial"/>
          <w:szCs w:val="20"/>
        </w:rPr>
      </w:pPr>
      <w:r w:rsidRPr="00CC62FC">
        <w:rPr>
          <w:rFonts w:cs="Arial"/>
          <w:szCs w:val="20"/>
        </w:rPr>
        <w:t xml:space="preserve">This research was an asynchronous process where knowledge and narration were mediated through textual representation (James and </w:t>
      </w:r>
      <w:proofErr w:type="spellStart"/>
      <w:r w:rsidRPr="00CC62FC">
        <w:rPr>
          <w:rFonts w:cs="Arial"/>
          <w:szCs w:val="20"/>
        </w:rPr>
        <w:t>Busher</w:t>
      </w:r>
      <w:proofErr w:type="spellEnd"/>
      <w:r w:rsidRPr="00CC62FC">
        <w:rPr>
          <w:rFonts w:cs="Arial"/>
          <w:szCs w:val="20"/>
        </w:rPr>
        <w:t xml:space="preserve"> 2009: 10–11). While narratives could not be as directly co-produced as in a face-to-face interview, it permitted respondents to consider their responses in their own time without the pressure of being in front of an interviewer (O’Connor et al. 2007: 272–3), and it enabled me to widen the participant population outside my own university (thus reducing, though not eliminating, the power differential between myself and participants (see Cleaver, </w:t>
      </w:r>
      <w:proofErr w:type="spellStart"/>
      <w:r w:rsidRPr="00CC62FC">
        <w:rPr>
          <w:rFonts w:cs="Arial"/>
          <w:szCs w:val="20"/>
        </w:rPr>
        <w:t>Lintern</w:t>
      </w:r>
      <w:proofErr w:type="spellEnd"/>
      <w:r w:rsidRPr="00CC62FC">
        <w:rPr>
          <w:rFonts w:cs="Arial"/>
          <w:szCs w:val="20"/>
        </w:rPr>
        <w:t xml:space="preserve"> and </w:t>
      </w:r>
      <w:proofErr w:type="spellStart"/>
      <w:r w:rsidRPr="00CC62FC">
        <w:rPr>
          <w:rFonts w:cs="Arial"/>
          <w:szCs w:val="20"/>
        </w:rPr>
        <w:t>McLinden</w:t>
      </w:r>
      <w:proofErr w:type="spellEnd"/>
      <w:r w:rsidRPr="00CC62FC">
        <w:rPr>
          <w:rFonts w:cs="Arial"/>
          <w:szCs w:val="20"/>
        </w:rPr>
        <w:t xml:space="preserve"> 2014: 66–7)) without the need for travel. It did however restrict participation to those with access to an internet connection and time to respond. </w:t>
      </w:r>
    </w:p>
    <w:p w14:paraId="2A7DD311" w14:textId="77777777" w:rsidR="00AE0AF5" w:rsidRPr="00CC62FC" w:rsidRDefault="00AE0AF5" w:rsidP="00AE0AF5">
      <w:pPr>
        <w:ind w:firstLine="284"/>
        <w:rPr>
          <w:rFonts w:cs="Arial"/>
        </w:rPr>
      </w:pPr>
      <w:r w:rsidRPr="00CC62FC">
        <w:rPr>
          <w:rFonts w:cs="Arial"/>
          <w:szCs w:val="20"/>
        </w:rPr>
        <w:t xml:space="preserve">The study had three hypotheses and five research questions. Hypothesis 1, prompted by the extension of diversity policy into (some areas of) transgender equality as a result of the </w:t>
      </w:r>
      <w:r w:rsidRPr="00CC62FC">
        <w:rPr>
          <w:rFonts w:cs="Arial"/>
          <w:szCs w:val="20"/>
        </w:rPr>
        <w:lastRenderedPageBreak/>
        <w:t xml:space="preserve">Equalities Act, was that </w:t>
      </w:r>
      <w:r w:rsidRPr="00CC62FC">
        <w:rPr>
          <w:rFonts w:cs="Arial"/>
        </w:rPr>
        <w:t xml:space="preserve">current students and very recent (post-2013) graduates would report slightly more positively (compared to less recent graduates) on trans inclusivity or, at least, would report less exposure to directly </w:t>
      </w:r>
      <w:proofErr w:type="spellStart"/>
      <w:r w:rsidRPr="00CC62FC">
        <w:rPr>
          <w:rFonts w:cs="Arial"/>
        </w:rPr>
        <w:t>transphobic</w:t>
      </w:r>
      <w:proofErr w:type="spellEnd"/>
      <w:r w:rsidRPr="00CC62FC">
        <w:rPr>
          <w:rFonts w:cs="Arial"/>
        </w:rPr>
        <w:t xml:space="preserve"> content (Hypothesis 1); their perceptions of what inclusivity actually constituted would also be important to discern. The others qualified Hypothesis 1 by hypothesising that students would not perceive the curriculum as inclusive in practice if instructors had been teaching trans-inclusive material but not been challenging – or had themselves been perpetrating (McKinney 2005: 68) – </w:t>
      </w:r>
      <w:proofErr w:type="spellStart"/>
      <w:r w:rsidRPr="00CC62FC">
        <w:rPr>
          <w:rFonts w:cs="Arial"/>
        </w:rPr>
        <w:t>microaggressions</w:t>
      </w:r>
      <w:proofErr w:type="spellEnd"/>
      <w:r w:rsidRPr="00CC62FC">
        <w:rPr>
          <w:rFonts w:cs="Arial"/>
        </w:rPr>
        <w:t xml:space="preserve"> (Hypothesis 2), and that respondents would not perceive non-binary identities to have been incorporated well into the curriculum even in very recent teaching and learning (Hypothesis 3). The five research questions were therefore:</w:t>
      </w:r>
    </w:p>
    <w:p w14:paraId="3816EB4C" w14:textId="77777777" w:rsidR="00AE0AF5" w:rsidRPr="00CC62FC" w:rsidRDefault="00AE0AF5" w:rsidP="00AE0AF5">
      <w:pPr>
        <w:pStyle w:val="CommentText"/>
        <w:rPr>
          <w:rFonts w:cs="Arial"/>
        </w:rPr>
      </w:pPr>
    </w:p>
    <w:p w14:paraId="624D9E52" w14:textId="77777777" w:rsidR="00AE0AF5" w:rsidRPr="00CC62FC" w:rsidRDefault="00AE0AF5" w:rsidP="00AE0AF5">
      <w:pPr>
        <w:pStyle w:val="ListParagraph"/>
        <w:numPr>
          <w:ilvl w:val="0"/>
          <w:numId w:val="2"/>
        </w:numPr>
        <w:jc w:val="left"/>
      </w:pPr>
      <w:r w:rsidRPr="00CC62FC">
        <w:t>How trans-inclusive have respondents perceived their curricula as being, and is there any evidence this has improved since 2010? (Hypothesis 1)</w:t>
      </w:r>
    </w:p>
    <w:p w14:paraId="56BF9637" w14:textId="77777777" w:rsidR="00AE0AF5" w:rsidRPr="00CC62FC" w:rsidRDefault="00AE0AF5" w:rsidP="00AE0AF5">
      <w:pPr>
        <w:pStyle w:val="ListParagraph"/>
        <w:numPr>
          <w:ilvl w:val="0"/>
          <w:numId w:val="2"/>
        </w:numPr>
        <w:jc w:val="left"/>
      </w:pPr>
      <w:r w:rsidRPr="00CC62FC">
        <w:t xml:space="preserve">What examples of good practice in the planning and implementation of curriculum </w:t>
      </w:r>
      <w:proofErr w:type="gramStart"/>
      <w:r w:rsidRPr="00CC62FC">
        <w:t>trans</w:t>
      </w:r>
      <w:proofErr w:type="gramEnd"/>
      <w:r w:rsidRPr="00CC62FC">
        <w:t xml:space="preserve"> inclusivity have students remembered? (Hypothesis 1)</w:t>
      </w:r>
    </w:p>
    <w:p w14:paraId="0EF2A170" w14:textId="77777777" w:rsidR="00AE0AF5" w:rsidRPr="00CC62FC" w:rsidRDefault="00AE0AF5" w:rsidP="00AE0AF5">
      <w:pPr>
        <w:pStyle w:val="ListParagraph"/>
        <w:numPr>
          <w:ilvl w:val="0"/>
          <w:numId w:val="2"/>
        </w:numPr>
        <w:jc w:val="left"/>
      </w:pPr>
      <w:r w:rsidRPr="00CC62FC">
        <w:t>In students’ perceptions, how seriously do classroom ‘</w:t>
      </w:r>
      <w:proofErr w:type="spellStart"/>
      <w:r w:rsidRPr="00CC62FC">
        <w:t>microaggressions</w:t>
      </w:r>
      <w:proofErr w:type="spellEnd"/>
      <w:r w:rsidRPr="00CC62FC">
        <w:t>’ compromise efforts towards trans-inclusive curricula which have been made? (Hypothesis 2)</w:t>
      </w:r>
    </w:p>
    <w:p w14:paraId="0D27F6EB" w14:textId="77777777" w:rsidR="00AE0AF5" w:rsidRPr="00CC62FC" w:rsidRDefault="00AE0AF5" w:rsidP="00AE0AF5">
      <w:pPr>
        <w:pStyle w:val="ListParagraph"/>
        <w:numPr>
          <w:ilvl w:val="0"/>
          <w:numId w:val="2"/>
        </w:numPr>
        <w:jc w:val="left"/>
      </w:pPr>
      <w:r w:rsidRPr="00CC62FC">
        <w:t xml:space="preserve">To what extent do students perceive efforts towards trans-inclusive curricula to have accommodated non-binary as well as binary </w:t>
      </w:r>
      <w:proofErr w:type="gramStart"/>
      <w:r w:rsidRPr="00CC62FC">
        <w:t>trans</w:t>
      </w:r>
      <w:proofErr w:type="gramEnd"/>
      <w:r w:rsidRPr="00CC62FC">
        <w:t xml:space="preserve"> identities? (Hypothesis 3)</w:t>
      </w:r>
    </w:p>
    <w:p w14:paraId="6CD7CDA6" w14:textId="513855CF" w:rsidR="00AE0AF5" w:rsidRDefault="00AE0AF5" w:rsidP="00AE0AF5">
      <w:pPr>
        <w:rPr>
          <w:rFonts w:cs="Arial"/>
          <w:b/>
          <w:bCs/>
          <w:szCs w:val="24"/>
        </w:rPr>
      </w:pPr>
      <w:r w:rsidRPr="00CC62FC">
        <w:t xml:space="preserve">Relative to other factors that impact the accessibility of higher education to </w:t>
      </w:r>
      <w:proofErr w:type="gramStart"/>
      <w:r w:rsidRPr="00CC62FC">
        <w:t>trans</w:t>
      </w:r>
      <w:proofErr w:type="gramEnd"/>
      <w:r w:rsidRPr="00CC62FC">
        <w:t xml:space="preserve"> students, how important do students perceive an inclusive curriculum to be? (Hypothesis 1)</w:t>
      </w:r>
    </w:p>
    <w:p w14:paraId="5EAA4B15" w14:textId="77777777" w:rsidR="00AE0AF5" w:rsidRDefault="00AE0AF5" w:rsidP="00A934DC">
      <w:pPr>
        <w:rPr>
          <w:rFonts w:cs="Arial"/>
          <w:b/>
          <w:bCs/>
          <w:szCs w:val="24"/>
        </w:rPr>
      </w:pPr>
    </w:p>
    <w:p w14:paraId="4D565D15" w14:textId="09EAEC38" w:rsidR="00A934DC" w:rsidRPr="00CC62FC" w:rsidRDefault="00A934DC" w:rsidP="00A934DC">
      <w:pPr>
        <w:rPr>
          <w:rFonts w:cs="Arial"/>
          <w:b/>
          <w:bCs/>
          <w:szCs w:val="24"/>
        </w:rPr>
      </w:pPr>
      <w:r w:rsidRPr="00CC62FC">
        <w:rPr>
          <w:rFonts w:cs="Arial"/>
          <w:b/>
          <w:bCs/>
          <w:szCs w:val="24"/>
        </w:rPr>
        <w:t>Appendix</w:t>
      </w:r>
      <w:r w:rsidR="00AE0AF5">
        <w:rPr>
          <w:rFonts w:cs="Arial"/>
          <w:b/>
          <w:bCs/>
          <w:szCs w:val="24"/>
        </w:rPr>
        <w:t xml:space="preserve"> 2: Data</w:t>
      </w:r>
    </w:p>
    <w:p w14:paraId="30AD5955" w14:textId="77777777" w:rsidR="00A934DC" w:rsidRPr="00CC62FC" w:rsidRDefault="00A934DC" w:rsidP="00A934DC">
      <w:pPr>
        <w:rPr>
          <w:rFonts w:cs="Arial"/>
          <w:szCs w:val="24"/>
        </w:rPr>
      </w:pPr>
    </w:p>
    <w:p w14:paraId="4541BD9E" w14:textId="053DD8A8" w:rsidR="00A934DC" w:rsidRPr="00CC62FC" w:rsidRDefault="00A934DC" w:rsidP="00A934DC">
      <w:pPr>
        <w:rPr>
          <w:rFonts w:cs="Arial"/>
          <w:szCs w:val="24"/>
        </w:rPr>
      </w:pPr>
      <w:r w:rsidRPr="00CC62FC">
        <w:rPr>
          <w:rFonts w:cs="Arial"/>
          <w:szCs w:val="24"/>
        </w:rPr>
        <w:t>Table 1: Respondents’ disciplines</w:t>
      </w:r>
    </w:p>
    <w:p w14:paraId="06144239" w14:textId="77777777" w:rsidR="00A934DC" w:rsidRPr="00CC62FC" w:rsidRDefault="00A934DC" w:rsidP="00A934DC">
      <w:pPr>
        <w:rPr>
          <w:rFonts w:cs="Arial"/>
          <w:szCs w:val="24"/>
        </w:rPr>
      </w:pPr>
    </w:p>
    <w:tbl>
      <w:tblPr>
        <w:tblStyle w:val="TableGrid"/>
        <w:tblW w:w="0" w:type="auto"/>
        <w:tblLook w:val="04A0" w:firstRow="1" w:lastRow="0" w:firstColumn="1" w:lastColumn="0" w:noHBand="0" w:noVBand="1"/>
      </w:tblPr>
      <w:tblGrid>
        <w:gridCol w:w="3256"/>
        <w:gridCol w:w="1134"/>
        <w:gridCol w:w="1134"/>
        <w:gridCol w:w="1179"/>
      </w:tblGrid>
      <w:tr w:rsidR="00A934DC" w:rsidRPr="00CC62FC" w14:paraId="77CE2318" w14:textId="77777777" w:rsidTr="00663BBC">
        <w:tc>
          <w:tcPr>
            <w:tcW w:w="3256" w:type="dxa"/>
          </w:tcPr>
          <w:p w14:paraId="523D46CB" w14:textId="77777777" w:rsidR="00A934DC" w:rsidRPr="00CC62FC" w:rsidRDefault="00A934DC" w:rsidP="00663BBC">
            <w:pPr>
              <w:rPr>
                <w:rFonts w:cs="Arial"/>
                <w:szCs w:val="24"/>
              </w:rPr>
            </w:pPr>
            <w:r w:rsidRPr="00CC62FC">
              <w:rPr>
                <w:rFonts w:cs="Arial"/>
                <w:szCs w:val="24"/>
              </w:rPr>
              <w:t>Subject</w:t>
            </w:r>
          </w:p>
        </w:tc>
        <w:tc>
          <w:tcPr>
            <w:tcW w:w="1134" w:type="dxa"/>
          </w:tcPr>
          <w:p w14:paraId="13D1BB88" w14:textId="77777777" w:rsidR="00A934DC" w:rsidRPr="00CC62FC" w:rsidRDefault="00A934DC" w:rsidP="00663BBC">
            <w:pPr>
              <w:rPr>
                <w:rFonts w:cs="Arial"/>
                <w:szCs w:val="24"/>
              </w:rPr>
            </w:pPr>
            <w:r w:rsidRPr="00CC62FC">
              <w:rPr>
                <w:rFonts w:cs="Arial"/>
                <w:szCs w:val="24"/>
              </w:rPr>
              <w:t>UG</w:t>
            </w:r>
          </w:p>
        </w:tc>
        <w:tc>
          <w:tcPr>
            <w:tcW w:w="1134" w:type="dxa"/>
          </w:tcPr>
          <w:p w14:paraId="70140574" w14:textId="77777777" w:rsidR="00A934DC" w:rsidRPr="00CC62FC" w:rsidRDefault="00A934DC" w:rsidP="00663BBC">
            <w:pPr>
              <w:rPr>
                <w:rFonts w:cs="Arial"/>
                <w:szCs w:val="24"/>
              </w:rPr>
            </w:pPr>
            <w:r w:rsidRPr="00CC62FC">
              <w:rPr>
                <w:rFonts w:cs="Arial"/>
                <w:szCs w:val="24"/>
              </w:rPr>
              <w:t>PG</w:t>
            </w:r>
          </w:p>
        </w:tc>
        <w:tc>
          <w:tcPr>
            <w:tcW w:w="1134" w:type="dxa"/>
          </w:tcPr>
          <w:p w14:paraId="4B22240F" w14:textId="77777777" w:rsidR="00A934DC" w:rsidRPr="00CC62FC" w:rsidRDefault="00A934DC" w:rsidP="00663BBC">
            <w:pPr>
              <w:rPr>
                <w:rFonts w:cs="Arial"/>
                <w:szCs w:val="24"/>
              </w:rPr>
            </w:pPr>
            <w:r w:rsidRPr="00CC62FC">
              <w:rPr>
                <w:rFonts w:cs="Arial"/>
                <w:szCs w:val="24"/>
              </w:rPr>
              <w:t>Number</w:t>
            </w:r>
            <w:r w:rsidRPr="00CC62FC">
              <w:rPr>
                <w:rStyle w:val="FootnoteReference"/>
                <w:rFonts w:cs="Arial"/>
                <w:szCs w:val="24"/>
              </w:rPr>
              <w:footnoteReference w:id="13"/>
            </w:r>
          </w:p>
        </w:tc>
      </w:tr>
      <w:tr w:rsidR="00A934DC" w:rsidRPr="00CC62FC" w14:paraId="530F4FA4" w14:textId="77777777" w:rsidTr="00663BBC">
        <w:tc>
          <w:tcPr>
            <w:tcW w:w="3256" w:type="dxa"/>
          </w:tcPr>
          <w:p w14:paraId="3A255325" w14:textId="77777777" w:rsidR="00A934DC" w:rsidRPr="00CC62FC" w:rsidRDefault="00A934DC" w:rsidP="00663BBC">
            <w:pPr>
              <w:rPr>
                <w:rFonts w:cs="Arial"/>
                <w:szCs w:val="24"/>
              </w:rPr>
            </w:pPr>
            <w:r w:rsidRPr="00CC62FC">
              <w:rPr>
                <w:rFonts w:cs="Arial"/>
                <w:szCs w:val="24"/>
              </w:rPr>
              <w:t>Archaeology</w:t>
            </w:r>
          </w:p>
        </w:tc>
        <w:tc>
          <w:tcPr>
            <w:tcW w:w="1134" w:type="dxa"/>
          </w:tcPr>
          <w:p w14:paraId="44F37CFF" w14:textId="77777777" w:rsidR="00A934DC" w:rsidRPr="00CC62FC" w:rsidRDefault="00A934DC" w:rsidP="00663BBC">
            <w:pPr>
              <w:rPr>
                <w:rFonts w:cs="Arial"/>
                <w:szCs w:val="24"/>
              </w:rPr>
            </w:pPr>
          </w:p>
        </w:tc>
        <w:tc>
          <w:tcPr>
            <w:tcW w:w="1134" w:type="dxa"/>
          </w:tcPr>
          <w:p w14:paraId="4C0F1236" w14:textId="77777777" w:rsidR="00A934DC" w:rsidRPr="00CC62FC" w:rsidRDefault="00A934DC" w:rsidP="00663BBC">
            <w:pPr>
              <w:rPr>
                <w:rFonts w:cs="Arial"/>
                <w:szCs w:val="24"/>
              </w:rPr>
            </w:pPr>
            <w:r w:rsidRPr="00CC62FC">
              <w:rPr>
                <w:rFonts w:cs="Arial"/>
                <w:szCs w:val="24"/>
              </w:rPr>
              <w:t>1</w:t>
            </w:r>
          </w:p>
        </w:tc>
        <w:tc>
          <w:tcPr>
            <w:tcW w:w="1134" w:type="dxa"/>
          </w:tcPr>
          <w:p w14:paraId="793A77B5" w14:textId="77777777" w:rsidR="00A934DC" w:rsidRPr="00CC62FC" w:rsidRDefault="00A934DC" w:rsidP="00663BBC">
            <w:pPr>
              <w:rPr>
                <w:rFonts w:cs="Arial"/>
                <w:szCs w:val="24"/>
              </w:rPr>
            </w:pPr>
            <w:r w:rsidRPr="00CC62FC">
              <w:rPr>
                <w:rFonts w:cs="Arial"/>
                <w:szCs w:val="24"/>
              </w:rPr>
              <w:t>1</w:t>
            </w:r>
          </w:p>
        </w:tc>
      </w:tr>
      <w:tr w:rsidR="00A934DC" w:rsidRPr="00CC62FC" w14:paraId="5C967EE5" w14:textId="77777777" w:rsidTr="00663BBC">
        <w:tc>
          <w:tcPr>
            <w:tcW w:w="3256" w:type="dxa"/>
          </w:tcPr>
          <w:p w14:paraId="0D6F2E35" w14:textId="77777777" w:rsidR="00A934DC" w:rsidRPr="00CC62FC" w:rsidRDefault="00A934DC" w:rsidP="00663BBC">
            <w:pPr>
              <w:rPr>
                <w:rFonts w:cs="Arial"/>
                <w:szCs w:val="24"/>
              </w:rPr>
            </w:pPr>
            <w:r w:rsidRPr="00CC62FC">
              <w:rPr>
                <w:rFonts w:cs="Arial"/>
                <w:szCs w:val="24"/>
              </w:rPr>
              <w:t>Economics</w:t>
            </w:r>
          </w:p>
        </w:tc>
        <w:tc>
          <w:tcPr>
            <w:tcW w:w="1134" w:type="dxa"/>
          </w:tcPr>
          <w:p w14:paraId="7D4C62BE" w14:textId="77777777" w:rsidR="00A934DC" w:rsidRPr="00CC62FC" w:rsidRDefault="00A934DC" w:rsidP="00663BBC">
            <w:pPr>
              <w:rPr>
                <w:rFonts w:cs="Arial"/>
                <w:szCs w:val="24"/>
              </w:rPr>
            </w:pPr>
            <w:r w:rsidRPr="00CC62FC">
              <w:rPr>
                <w:rFonts w:cs="Arial"/>
                <w:szCs w:val="24"/>
              </w:rPr>
              <w:t>1</w:t>
            </w:r>
          </w:p>
        </w:tc>
        <w:tc>
          <w:tcPr>
            <w:tcW w:w="1134" w:type="dxa"/>
          </w:tcPr>
          <w:p w14:paraId="76751BC4" w14:textId="77777777" w:rsidR="00A934DC" w:rsidRPr="00CC62FC" w:rsidRDefault="00A934DC" w:rsidP="00663BBC">
            <w:pPr>
              <w:rPr>
                <w:rFonts w:cs="Arial"/>
                <w:szCs w:val="24"/>
              </w:rPr>
            </w:pPr>
          </w:p>
        </w:tc>
        <w:tc>
          <w:tcPr>
            <w:tcW w:w="1134" w:type="dxa"/>
          </w:tcPr>
          <w:p w14:paraId="05B71B14" w14:textId="77777777" w:rsidR="00A934DC" w:rsidRPr="00CC62FC" w:rsidRDefault="00A934DC" w:rsidP="00663BBC">
            <w:pPr>
              <w:rPr>
                <w:rFonts w:cs="Arial"/>
                <w:szCs w:val="24"/>
              </w:rPr>
            </w:pPr>
            <w:r w:rsidRPr="00CC62FC">
              <w:rPr>
                <w:rFonts w:cs="Arial"/>
                <w:szCs w:val="24"/>
              </w:rPr>
              <w:t>1</w:t>
            </w:r>
          </w:p>
        </w:tc>
      </w:tr>
      <w:tr w:rsidR="00A934DC" w:rsidRPr="00CC62FC" w14:paraId="49EFAB75" w14:textId="77777777" w:rsidTr="00663BBC">
        <w:tc>
          <w:tcPr>
            <w:tcW w:w="3256" w:type="dxa"/>
          </w:tcPr>
          <w:p w14:paraId="148EEC9D" w14:textId="77777777" w:rsidR="00A934DC" w:rsidRPr="00CC62FC" w:rsidRDefault="00A934DC" w:rsidP="00663BBC">
            <w:pPr>
              <w:rPr>
                <w:rFonts w:cs="Arial"/>
                <w:szCs w:val="24"/>
              </w:rPr>
            </w:pPr>
            <w:r w:rsidRPr="00CC62FC">
              <w:rPr>
                <w:rFonts w:cs="Arial"/>
                <w:szCs w:val="24"/>
              </w:rPr>
              <w:t>Film</w:t>
            </w:r>
          </w:p>
        </w:tc>
        <w:tc>
          <w:tcPr>
            <w:tcW w:w="1134" w:type="dxa"/>
          </w:tcPr>
          <w:p w14:paraId="4A17F935" w14:textId="77777777" w:rsidR="00A934DC" w:rsidRPr="00CC62FC" w:rsidRDefault="00A934DC" w:rsidP="00663BBC">
            <w:pPr>
              <w:rPr>
                <w:rFonts w:cs="Arial"/>
                <w:szCs w:val="24"/>
              </w:rPr>
            </w:pPr>
            <w:r w:rsidRPr="00CC62FC">
              <w:rPr>
                <w:rFonts w:cs="Arial"/>
                <w:szCs w:val="24"/>
              </w:rPr>
              <w:t>1</w:t>
            </w:r>
          </w:p>
        </w:tc>
        <w:tc>
          <w:tcPr>
            <w:tcW w:w="1134" w:type="dxa"/>
          </w:tcPr>
          <w:p w14:paraId="14C04C9C" w14:textId="77777777" w:rsidR="00A934DC" w:rsidRPr="00CC62FC" w:rsidRDefault="00A934DC" w:rsidP="00663BBC">
            <w:pPr>
              <w:rPr>
                <w:rFonts w:cs="Arial"/>
                <w:szCs w:val="24"/>
              </w:rPr>
            </w:pPr>
          </w:p>
        </w:tc>
        <w:tc>
          <w:tcPr>
            <w:tcW w:w="1134" w:type="dxa"/>
          </w:tcPr>
          <w:p w14:paraId="3047B4CB" w14:textId="77777777" w:rsidR="00A934DC" w:rsidRPr="00CC62FC" w:rsidRDefault="00A934DC" w:rsidP="00663BBC">
            <w:pPr>
              <w:rPr>
                <w:rFonts w:cs="Arial"/>
                <w:szCs w:val="24"/>
              </w:rPr>
            </w:pPr>
            <w:r w:rsidRPr="00CC62FC">
              <w:rPr>
                <w:rFonts w:cs="Arial"/>
                <w:szCs w:val="24"/>
              </w:rPr>
              <w:t>1</w:t>
            </w:r>
          </w:p>
        </w:tc>
      </w:tr>
      <w:tr w:rsidR="00A934DC" w:rsidRPr="00CC62FC" w14:paraId="3CB6A589" w14:textId="77777777" w:rsidTr="00663BBC">
        <w:tc>
          <w:tcPr>
            <w:tcW w:w="3256" w:type="dxa"/>
          </w:tcPr>
          <w:p w14:paraId="0A918DEF" w14:textId="77777777" w:rsidR="00A934DC" w:rsidRPr="00CC62FC" w:rsidRDefault="00A934DC" w:rsidP="00663BBC">
            <w:pPr>
              <w:rPr>
                <w:rFonts w:cs="Arial"/>
                <w:szCs w:val="24"/>
              </w:rPr>
            </w:pPr>
            <w:r w:rsidRPr="00CC62FC">
              <w:rPr>
                <w:rFonts w:cs="Arial"/>
                <w:szCs w:val="24"/>
              </w:rPr>
              <w:t>Fine Arts</w:t>
            </w:r>
          </w:p>
        </w:tc>
        <w:tc>
          <w:tcPr>
            <w:tcW w:w="1134" w:type="dxa"/>
          </w:tcPr>
          <w:p w14:paraId="0CFEC8EB" w14:textId="77777777" w:rsidR="00A934DC" w:rsidRPr="00CC62FC" w:rsidRDefault="00A934DC" w:rsidP="00663BBC">
            <w:pPr>
              <w:rPr>
                <w:rFonts w:cs="Arial"/>
                <w:szCs w:val="24"/>
              </w:rPr>
            </w:pPr>
            <w:r w:rsidRPr="00CC62FC">
              <w:rPr>
                <w:rFonts w:cs="Arial"/>
                <w:szCs w:val="24"/>
              </w:rPr>
              <w:t>1</w:t>
            </w:r>
          </w:p>
        </w:tc>
        <w:tc>
          <w:tcPr>
            <w:tcW w:w="1134" w:type="dxa"/>
          </w:tcPr>
          <w:p w14:paraId="256E909A" w14:textId="77777777" w:rsidR="00A934DC" w:rsidRPr="00CC62FC" w:rsidRDefault="00A934DC" w:rsidP="00663BBC">
            <w:pPr>
              <w:rPr>
                <w:rFonts w:cs="Arial"/>
                <w:szCs w:val="24"/>
              </w:rPr>
            </w:pPr>
            <w:r w:rsidRPr="00CC62FC">
              <w:rPr>
                <w:rFonts w:cs="Arial"/>
                <w:szCs w:val="24"/>
              </w:rPr>
              <w:t>1</w:t>
            </w:r>
          </w:p>
        </w:tc>
        <w:tc>
          <w:tcPr>
            <w:tcW w:w="1134" w:type="dxa"/>
          </w:tcPr>
          <w:p w14:paraId="1DAE2463" w14:textId="77777777" w:rsidR="00A934DC" w:rsidRPr="00CC62FC" w:rsidRDefault="00A934DC" w:rsidP="00663BBC">
            <w:pPr>
              <w:rPr>
                <w:rFonts w:cs="Arial"/>
                <w:szCs w:val="24"/>
              </w:rPr>
            </w:pPr>
            <w:r w:rsidRPr="00CC62FC">
              <w:rPr>
                <w:rFonts w:cs="Arial"/>
                <w:szCs w:val="24"/>
              </w:rPr>
              <w:t>1</w:t>
            </w:r>
          </w:p>
        </w:tc>
      </w:tr>
      <w:tr w:rsidR="00A934DC" w:rsidRPr="00CC62FC" w14:paraId="6CFCEC83" w14:textId="77777777" w:rsidTr="00663BBC">
        <w:tc>
          <w:tcPr>
            <w:tcW w:w="3256" w:type="dxa"/>
          </w:tcPr>
          <w:p w14:paraId="45F93BC1" w14:textId="77777777" w:rsidR="00A934DC" w:rsidRPr="00CC62FC" w:rsidRDefault="00A934DC" w:rsidP="00663BBC">
            <w:pPr>
              <w:rPr>
                <w:rFonts w:cs="Arial"/>
                <w:szCs w:val="24"/>
              </w:rPr>
            </w:pPr>
            <w:r w:rsidRPr="00CC62FC">
              <w:rPr>
                <w:rFonts w:cs="Arial"/>
                <w:szCs w:val="24"/>
              </w:rPr>
              <w:t>Health and Social Care</w:t>
            </w:r>
          </w:p>
        </w:tc>
        <w:tc>
          <w:tcPr>
            <w:tcW w:w="1134" w:type="dxa"/>
          </w:tcPr>
          <w:p w14:paraId="057643CB" w14:textId="77777777" w:rsidR="00A934DC" w:rsidRPr="00CC62FC" w:rsidRDefault="00A934DC" w:rsidP="00663BBC">
            <w:pPr>
              <w:rPr>
                <w:rFonts w:cs="Arial"/>
                <w:szCs w:val="24"/>
              </w:rPr>
            </w:pPr>
          </w:p>
        </w:tc>
        <w:tc>
          <w:tcPr>
            <w:tcW w:w="1134" w:type="dxa"/>
          </w:tcPr>
          <w:p w14:paraId="25136CB5" w14:textId="77777777" w:rsidR="00A934DC" w:rsidRPr="00CC62FC" w:rsidRDefault="00A934DC" w:rsidP="00663BBC">
            <w:pPr>
              <w:rPr>
                <w:rFonts w:cs="Arial"/>
                <w:szCs w:val="24"/>
              </w:rPr>
            </w:pPr>
            <w:r w:rsidRPr="00CC62FC">
              <w:rPr>
                <w:rFonts w:cs="Arial"/>
                <w:szCs w:val="24"/>
              </w:rPr>
              <w:t>1</w:t>
            </w:r>
          </w:p>
        </w:tc>
        <w:tc>
          <w:tcPr>
            <w:tcW w:w="1134" w:type="dxa"/>
          </w:tcPr>
          <w:p w14:paraId="753E2ACD" w14:textId="77777777" w:rsidR="00A934DC" w:rsidRPr="00CC62FC" w:rsidRDefault="00A934DC" w:rsidP="00663BBC">
            <w:pPr>
              <w:rPr>
                <w:rFonts w:cs="Arial"/>
                <w:szCs w:val="24"/>
              </w:rPr>
            </w:pPr>
            <w:r w:rsidRPr="00CC62FC">
              <w:rPr>
                <w:rFonts w:cs="Arial"/>
                <w:szCs w:val="24"/>
              </w:rPr>
              <w:t>1</w:t>
            </w:r>
          </w:p>
        </w:tc>
      </w:tr>
      <w:tr w:rsidR="00A934DC" w:rsidRPr="00CC62FC" w14:paraId="774BACC9" w14:textId="77777777" w:rsidTr="00663BBC">
        <w:tc>
          <w:tcPr>
            <w:tcW w:w="3256" w:type="dxa"/>
          </w:tcPr>
          <w:p w14:paraId="3E0A491D" w14:textId="77777777" w:rsidR="00A934DC" w:rsidRPr="00CC62FC" w:rsidRDefault="00A934DC" w:rsidP="00663BBC">
            <w:pPr>
              <w:rPr>
                <w:rFonts w:cs="Arial"/>
                <w:szCs w:val="24"/>
              </w:rPr>
            </w:pPr>
            <w:r w:rsidRPr="00CC62FC">
              <w:rPr>
                <w:rFonts w:cs="Arial"/>
                <w:szCs w:val="24"/>
              </w:rPr>
              <w:t>History</w:t>
            </w:r>
          </w:p>
        </w:tc>
        <w:tc>
          <w:tcPr>
            <w:tcW w:w="1134" w:type="dxa"/>
          </w:tcPr>
          <w:p w14:paraId="2BA3AA30" w14:textId="77777777" w:rsidR="00A934DC" w:rsidRPr="00CC62FC" w:rsidRDefault="00A934DC" w:rsidP="00663BBC">
            <w:pPr>
              <w:rPr>
                <w:rFonts w:cs="Arial"/>
                <w:szCs w:val="24"/>
              </w:rPr>
            </w:pPr>
            <w:r w:rsidRPr="00CC62FC">
              <w:rPr>
                <w:rFonts w:cs="Arial"/>
                <w:szCs w:val="24"/>
              </w:rPr>
              <w:t>3</w:t>
            </w:r>
          </w:p>
        </w:tc>
        <w:tc>
          <w:tcPr>
            <w:tcW w:w="1134" w:type="dxa"/>
          </w:tcPr>
          <w:p w14:paraId="40C4C64F" w14:textId="77777777" w:rsidR="00A934DC" w:rsidRPr="00CC62FC" w:rsidRDefault="00A934DC" w:rsidP="00663BBC">
            <w:pPr>
              <w:rPr>
                <w:rFonts w:cs="Arial"/>
                <w:szCs w:val="24"/>
              </w:rPr>
            </w:pPr>
            <w:r w:rsidRPr="00CC62FC">
              <w:rPr>
                <w:rFonts w:cs="Arial"/>
                <w:szCs w:val="24"/>
              </w:rPr>
              <w:t>1</w:t>
            </w:r>
          </w:p>
        </w:tc>
        <w:tc>
          <w:tcPr>
            <w:tcW w:w="1134" w:type="dxa"/>
          </w:tcPr>
          <w:p w14:paraId="57F89A7E" w14:textId="77777777" w:rsidR="00A934DC" w:rsidRPr="00CC62FC" w:rsidRDefault="00A934DC" w:rsidP="00663BBC">
            <w:pPr>
              <w:rPr>
                <w:rFonts w:cs="Arial"/>
                <w:szCs w:val="24"/>
              </w:rPr>
            </w:pPr>
            <w:r w:rsidRPr="00CC62FC">
              <w:rPr>
                <w:rFonts w:cs="Arial"/>
                <w:szCs w:val="24"/>
              </w:rPr>
              <w:t>4</w:t>
            </w:r>
          </w:p>
        </w:tc>
      </w:tr>
      <w:tr w:rsidR="00A934DC" w:rsidRPr="00CC62FC" w14:paraId="26886B96" w14:textId="77777777" w:rsidTr="00663BBC">
        <w:tc>
          <w:tcPr>
            <w:tcW w:w="3256" w:type="dxa"/>
          </w:tcPr>
          <w:p w14:paraId="2D309322" w14:textId="77777777" w:rsidR="00A934DC" w:rsidRPr="00CC62FC" w:rsidRDefault="00A934DC" w:rsidP="00663BBC">
            <w:pPr>
              <w:rPr>
                <w:rFonts w:cs="Arial"/>
                <w:szCs w:val="24"/>
              </w:rPr>
            </w:pPr>
            <w:r w:rsidRPr="00CC62FC">
              <w:rPr>
                <w:rFonts w:cs="Arial"/>
                <w:szCs w:val="24"/>
              </w:rPr>
              <w:t>Humanities</w:t>
            </w:r>
          </w:p>
        </w:tc>
        <w:tc>
          <w:tcPr>
            <w:tcW w:w="1134" w:type="dxa"/>
          </w:tcPr>
          <w:p w14:paraId="3B89396C" w14:textId="77777777" w:rsidR="00A934DC" w:rsidRPr="00CC62FC" w:rsidRDefault="00A934DC" w:rsidP="00663BBC">
            <w:pPr>
              <w:rPr>
                <w:rFonts w:cs="Arial"/>
                <w:szCs w:val="24"/>
              </w:rPr>
            </w:pPr>
            <w:r w:rsidRPr="00CC62FC">
              <w:rPr>
                <w:rFonts w:cs="Arial"/>
                <w:szCs w:val="24"/>
              </w:rPr>
              <w:t>1</w:t>
            </w:r>
          </w:p>
        </w:tc>
        <w:tc>
          <w:tcPr>
            <w:tcW w:w="1134" w:type="dxa"/>
          </w:tcPr>
          <w:p w14:paraId="1A6CB54F" w14:textId="77777777" w:rsidR="00A934DC" w:rsidRPr="00CC62FC" w:rsidRDefault="00A934DC" w:rsidP="00663BBC">
            <w:pPr>
              <w:rPr>
                <w:rFonts w:cs="Arial"/>
                <w:szCs w:val="24"/>
              </w:rPr>
            </w:pPr>
          </w:p>
        </w:tc>
        <w:tc>
          <w:tcPr>
            <w:tcW w:w="1134" w:type="dxa"/>
          </w:tcPr>
          <w:p w14:paraId="57745FB4" w14:textId="77777777" w:rsidR="00A934DC" w:rsidRPr="00CC62FC" w:rsidRDefault="00A934DC" w:rsidP="00663BBC">
            <w:pPr>
              <w:rPr>
                <w:rFonts w:cs="Arial"/>
                <w:szCs w:val="24"/>
              </w:rPr>
            </w:pPr>
            <w:r w:rsidRPr="00CC62FC">
              <w:rPr>
                <w:rFonts w:cs="Arial"/>
                <w:szCs w:val="24"/>
              </w:rPr>
              <w:t>1</w:t>
            </w:r>
          </w:p>
        </w:tc>
      </w:tr>
      <w:tr w:rsidR="00A934DC" w:rsidRPr="00CC62FC" w14:paraId="59DC79D5" w14:textId="77777777" w:rsidTr="00663BBC">
        <w:tc>
          <w:tcPr>
            <w:tcW w:w="3256" w:type="dxa"/>
          </w:tcPr>
          <w:p w14:paraId="5A94223F" w14:textId="77777777" w:rsidR="00A934DC" w:rsidRPr="00CC62FC" w:rsidRDefault="00A934DC" w:rsidP="00663BBC">
            <w:pPr>
              <w:rPr>
                <w:rFonts w:cs="Arial"/>
                <w:szCs w:val="24"/>
              </w:rPr>
            </w:pPr>
            <w:r w:rsidRPr="00CC62FC">
              <w:rPr>
                <w:rFonts w:cs="Arial"/>
                <w:szCs w:val="24"/>
              </w:rPr>
              <w:t>Languages</w:t>
            </w:r>
          </w:p>
        </w:tc>
        <w:tc>
          <w:tcPr>
            <w:tcW w:w="1134" w:type="dxa"/>
          </w:tcPr>
          <w:p w14:paraId="7FF2B309" w14:textId="77777777" w:rsidR="00A934DC" w:rsidRPr="00CC62FC" w:rsidRDefault="00A934DC" w:rsidP="00663BBC">
            <w:pPr>
              <w:rPr>
                <w:rFonts w:cs="Arial"/>
                <w:szCs w:val="24"/>
              </w:rPr>
            </w:pPr>
            <w:r w:rsidRPr="00CC62FC">
              <w:rPr>
                <w:rFonts w:cs="Arial"/>
                <w:szCs w:val="24"/>
              </w:rPr>
              <w:t>1</w:t>
            </w:r>
          </w:p>
        </w:tc>
        <w:tc>
          <w:tcPr>
            <w:tcW w:w="1134" w:type="dxa"/>
          </w:tcPr>
          <w:p w14:paraId="1CCB4C8B" w14:textId="77777777" w:rsidR="00A934DC" w:rsidRPr="00CC62FC" w:rsidRDefault="00A934DC" w:rsidP="00663BBC">
            <w:pPr>
              <w:rPr>
                <w:rFonts w:cs="Arial"/>
                <w:szCs w:val="24"/>
              </w:rPr>
            </w:pPr>
          </w:p>
        </w:tc>
        <w:tc>
          <w:tcPr>
            <w:tcW w:w="1134" w:type="dxa"/>
          </w:tcPr>
          <w:p w14:paraId="3E44361B" w14:textId="77777777" w:rsidR="00A934DC" w:rsidRPr="00CC62FC" w:rsidRDefault="00A934DC" w:rsidP="00663BBC">
            <w:pPr>
              <w:rPr>
                <w:rFonts w:cs="Arial"/>
                <w:szCs w:val="24"/>
              </w:rPr>
            </w:pPr>
            <w:r w:rsidRPr="00CC62FC">
              <w:rPr>
                <w:rFonts w:cs="Arial"/>
                <w:szCs w:val="24"/>
              </w:rPr>
              <w:t>1</w:t>
            </w:r>
          </w:p>
        </w:tc>
      </w:tr>
      <w:tr w:rsidR="00A934DC" w:rsidRPr="00CC62FC" w14:paraId="703C54DF" w14:textId="77777777" w:rsidTr="00663BBC">
        <w:tc>
          <w:tcPr>
            <w:tcW w:w="3256" w:type="dxa"/>
          </w:tcPr>
          <w:p w14:paraId="7A3AB9EA" w14:textId="77777777" w:rsidR="00A934DC" w:rsidRPr="00CC62FC" w:rsidRDefault="00A934DC" w:rsidP="00663BBC">
            <w:pPr>
              <w:rPr>
                <w:rFonts w:cs="Arial"/>
                <w:szCs w:val="24"/>
              </w:rPr>
            </w:pPr>
            <w:r w:rsidRPr="00CC62FC">
              <w:rPr>
                <w:rFonts w:cs="Arial"/>
                <w:szCs w:val="24"/>
              </w:rPr>
              <w:t>Law</w:t>
            </w:r>
          </w:p>
        </w:tc>
        <w:tc>
          <w:tcPr>
            <w:tcW w:w="1134" w:type="dxa"/>
          </w:tcPr>
          <w:p w14:paraId="39FB4889" w14:textId="77777777" w:rsidR="00A934DC" w:rsidRPr="00CC62FC" w:rsidRDefault="00A934DC" w:rsidP="00663BBC">
            <w:pPr>
              <w:rPr>
                <w:rFonts w:cs="Arial"/>
                <w:szCs w:val="24"/>
              </w:rPr>
            </w:pPr>
            <w:r w:rsidRPr="00CC62FC">
              <w:rPr>
                <w:rFonts w:cs="Arial"/>
                <w:szCs w:val="24"/>
              </w:rPr>
              <w:t>1</w:t>
            </w:r>
          </w:p>
        </w:tc>
        <w:tc>
          <w:tcPr>
            <w:tcW w:w="1134" w:type="dxa"/>
          </w:tcPr>
          <w:p w14:paraId="781A736D" w14:textId="77777777" w:rsidR="00A934DC" w:rsidRPr="00CC62FC" w:rsidRDefault="00A934DC" w:rsidP="00663BBC">
            <w:pPr>
              <w:rPr>
                <w:rFonts w:cs="Arial"/>
                <w:szCs w:val="24"/>
              </w:rPr>
            </w:pPr>
            <w:r w:rsidRPr="00CC62FC">
              <w:rPr>
                <w:rFonts w:cs="Arial"/>
                <w:szCs w:val="24"/>
              </w:rPr>
              <w:t>1</w:t>
            </w:r>
          </w:p>
        </w:tc>
        <w:tc>
          <w:tcPr>
            <w:tcW w:w="1134" w:type="dxa"/>
          </w:tcPr>
          <w:p w14:paraId="29CB1DA0" w14:textId="77777777" w:rsidR="00A934DC" w:rsidRPr="00CC62FC" w:rsidRDefault="00A934DC" w:rsidP="00663BBC">
            <w:pPr>
              <w:rPr>
                <w:rFonts w:cs="Arial"/>
                <w:szCs w:val="24"/>
              </w:rPr>
            </w:pPr>
            <w:r w:rsidRPr="00CC62FC">
              <w:rPr>
                <w:rFonts w:cs="Arial"/>
                <w:szCs w:val="24"/>
              </w:rPr>
              <w:t>2</w:t>
            </w:r>
          </w:p>
        </w:tc>
      </w:tr>
      <w:tr w:rsidR="00A934DC" w:rsidRPr="00CC62FC" w14:paraId="7BD9D041" w14:textId="77777777" w:rsidTr="00663BBC">
        <w:tc>
          <w:tcPr>
            <w:tcW w:w="3256" w:type="dxa"/>
          </w:tcPr>
          <w:p w14:paraId="5590CF5E" w14:textId="77777777" w:rsidR="00A934DC" w:rsidRPr="00CC62FC" w:rsidRDefault="00A934DC" w:rsidP="00663BBC">
            <w:pPr>
              <w:rPr>
                <w:rFonts w:cs="Arial"/>
                <w:szCs w:val="24"/>
              </w:rPr>
            </w:pPr>
            <w:r w:rsidRPr="00CC62FC">
              <w:rPr>
                <w:rFonts w:cs="Arial"/>
                <w:szCs w:val="24"/>
              </w:rPr>
              <w:t>Literature/English</w:t>
            </w:r>
          </w:p>
        </w:tc>
        <w:tc>
          <w:tcPr>
            <w:tcW w:w="1134" w:type="dxa"/>
          </w:tcPr>
          <w:p w14:paraId="2F7039C4" w14:textId="77777777" w:rsidR="00A934DC" w:rsidRPr="00CC62FC" w:rsidRDefault="00A934DC" w:rsidP="00663BBC">
            <w:pPr>
              <w:rPr>
                <w:rFonts w:cs="Arial"/>
                <w:szCs w:val="24"/>
              </w:rPr>
            </w:pPr>
            <w:r w:rsidRPr="00CC62FC">
              <w:rPr>
                <w:rFonts w:cs="Arial"/>
                <w:szCs w:val="24"/>
              </w:rPr>
              <w:t>2</w:t>
            </w:r>
          </w:p>
        </w:tc>
        <w:tc>
          <w:tcPr>
            <w:tcW w:w="1134" w:type="dxa"/>
          </w:tcPr>
          <w:p w14:paraId="7F64EE43" w14:textId="77777777" w:rsidR="00A934DC" w:rsidRPr="00CC62FC" w:rsidRDefault="00A934DC" w:rsidP="00663BBC">
            <w:pPr>
              <w:rPr>
                <w:rFonts w:cs="Arial"/>
                <w:szCs w:val="24"/>
              </w:rPr>
            </w:pPr>
            <w:r w:rsidRPr="00CC62FC">
              <w:rPr>
                <w:rFonts w:cs="Arial"/>
                <w:szCs w:val="24"/>
              </w:rPr>
              <w:t>1</w:t>
            </w:r>
          </w:p>
        </w:tc>
        <w:tc>
          <w:tcPr>
            <w:tcW w:w="1134" w:type="dxa"/>
          </w:tcPr>
          <w:p w14:paraId="5E158D47" w14:textId="77777777" w:rsidR="00A934DC" w:rsidRPr="00CC62FC" w:rsidRDefault="00A934DC" w:rsidP="00663BBC">
            <w:pPr>
              <w:rPr>
                <w:rFonts w:cs="Arial"/>
                <w:szCs w:val="24"/>
              </w:rPr>
            </w:pPr>
            <w:r w:rsidRPr="00CC62FC">
              <w:rPr>
                <w:rFonts w:cs="Arial"/>
                <w:szCs w:val="24"/>
              </w:rPr>
              <w:t>3</w:t>
            </w:r>
          </w:p>
        </w:tc>
      </w:tr>
      <w:tr w:rsidR="00A934DC" w:rsidRPr="00CC62FC" w14:paraId="5308CCE0" w14:textId="77777777" w:rsidTr="00663BBC">
        <w:tc>
          <w:tcPr>
            <w:tcW w:w="3256" w:type="dxa"/>
          </w:tcPr>
          <w:p w14:paraId="6E174A4B" w14:textId="77777777" w:rsidR="00A934DC" w:rsidRPr="00CC62FC" w:rsidRDefault="00A934DC" w:rsidP="00663BBC">
            <w:pPr>
              <w:rPr>
                <w:rFonts w:cs="Arial"/>
                <w:szCs w:val="24"/>
              </w:rPr>
            </w:pPr>
            <w:r w:rsidRPr="00CC62FC">
              <w:rPr>
                <w:rFonts w:cs="Arial"/>
                <w:szCs w:val="24"/>
              </w:rPr>
              <w:t>Management</w:t>
            </w:r>
          </w:p>
        </w:tc>
        <w:tc>
          <w:tcPr>
            <w:tcW w:w="1134" w:type="dxa"/>
          </w:tcPr>
          <w:p w14:paraId="0E8A02AE" w14:textId="77777777" w:rsidR="00A934DC" w:rsidRPr="00CC62FC" w:rsidRDefault="00A934DC" w:rsidP="00663BBC">
            <w:pPr>
              <w:rPr>
                <w:rFonts w:cs="Arial"/>
                <w:szCs w:val="24"/>
              </w:rPr>
            </w:pPr>
          </w:p>
        </w:tc>
        <w:tc>
          <w:tcPr>
            <w:tcW w:w="1134" w:type="dxa"/>
          </w:tcPr>
          <w:p w14:paraId="5F95822F" w14:textId="77777777" w:rsidR="00A934DC" w:rsidRPr="00CC62FC" w:rsidRDefault="00A934DC" w:rsidP="00663BBC">
            <w:pPr>
              <w:rPr>
                <w:rFonts w:cs="Arial"/>
                <w:szCs w:val="24"/>
              </w:rPr>
            </w:pPr>
            <w:r w:rsidRPr="00CC62FC">
              <w:rPr>
                <w:rFonts w:cs="Arial"/>
                <w:szCs w:val="24"/>
              </w:rPr>
              <w:t>1</w:t>
            </w:r>
          </w:p>
        </w:tc>
        <w:tc>
          <w:tcPr>
            <w:tcW w:w="1134" w:type="dxa"/>
          </w:tcPr>
          <w:p w14:paraId="05B02F07" w14:textId="77777777" w:rsidR="00A934DC" w:rsidRPr="00CC62FC" w:rsidRDefault="00A934DC" w:rsidP="00663BBC">
            <w:pPr>
              <w:rPr>
                <w:rFonts w:cs="Arial"/>
                <w:szCs w:val="24"/>
              </w:rPr>
            </w:pPr>
            <w:r w:rsidRPr="00CC62FC">
              <w:rPr>
                <w:rFonts w:cs="Arial"/>
                <w:szCs w:val="24"/>
              </w:rPr>
              <w:t>1</w:t>
            </w:r>
          </w:p>
        </w:tc>
      </w:tr>
      <w:tr w:rsidR="00A934DC" w:rsidRPr="00CC62FC" w14:paraId="39238E62" w14:textId="77777777" w:rsidTr="00663BBC">
        <w:tc>
          <w:tcPr>
            <w:tcW w:w="3256" w:type="dxa"/>
          </w:tcPr>
          <w:p w14:paraId="13A88319" w14:textId="77777777" w:rsidR="00A934DC" w:rsidRPr="00CC62FC" w:rsidRDefault="00A934DC" w:rsidP="00663BBC">
            <w:pPr>
              <w:rPr>
                <w:rFonts w:cs="Arial"/>
                <w:szCs w:val="24"/>
              </w:rPr>
            </w:pPr>
            <w:r w:rsidRPr="00CC62FC">
              <w:rPr>
                <w:rFonts w:cs="Arial"/>
                <w:szCs w:val="24"/>
              </w:rPr>
              <w:t>Philosophy</w:t>
            </w:r>
          </w:p>
        </w:tc>
        <w:tc>
          <w:tcPr>
            <w:tcW w:w="1134" w:type="dxa"/>
          </w:tcPr>
          <w:p w14:paraId="42BA01C4" w14:textId="77777777" w:rsidR="00A934DC" w:rsidRPr="00CC62FC" w:rsidRDefault="00A934DC" w:rsidP="00663BBC">
            <w:pPr>
              <w:rPr>
                <w:rFonts w:cs="Arial"/>
                <w:szCs w:val="24"/>
              </w:rPr>
            </w:pPr>
            <w:r w:rsidRPr="00CC62FC">
              <w:rPr>
                <w:rFonts w:cs="Arial"/>
                <w:szCs w:val="24"/>
              </w:rPr>
              <w:t>1</w:t>
            </w:r>
          </w:p>
        </w:tc>
        <w:tc>
          <w:tcPr>
            <w:tcW w:w="1134" w:type="dxa"/>
          </w:tcPr>
          <w:p w14:paraId="74E29211" w14:textId="77777777" w:rsidR="00A934DC" w:rsidRPr="00CC62FC" w:rsidRDefault="00A934DC" w:rsidP="00663BBC">
            <w:pPr>
              <w:rPr>
                <w:rFonts w:cs="Arial"/>
                <w:szCs w:val="24"/>
              </w:rPr>
            </w:pPr>
            <w:r w:rsidRPr="00CC62FC">
              <w:rPr>
                <w:rFonts w:cs="Arial"/>
                <w:szCs w:val="24"/>
              </w:rPr>
              <w:t>1</w:t>
            </w:r>
          </w:p>
        </w:tc>
        <w:tc>
          <w:tcPr>
            <w:tcW w:w="1134" w:type="dxa"/>
          </w:tcPr>
          <w:p w14:paraId="330A9C86" w14:textId="77777777" w:rsidR="00A934DC" w:rsidRPr="00CC62FC" w:rsidRDefault="00A934DC" w:rsidP="00663BBC">
            <w:pPr>
              <w:rPr>
                <w:rFonts w:cs="Arial"/>
                <w:szCs w:val="24"/>
              </w:rPr>
            </w:pPr>
            <w:r w:rsidRPr="00CC62FC">
              <w:rPr>
                <w:rFonts w:cs="Arial"/>
                <w:szCs w:val="24"/>
              </w:rPr>
              <w:t>2</w:t>
            </w:r>
          </w:p>
        </w:tc>
      </w:tr>
      <w:tr w:rsidR="00A934DC" w:rsidRPr="00CC62FC" w14:paraId="637B574A" w14:textId="77777777" w:rsidTr="00663BBC">
        <w:tc>
          <w:tcPr>
            <w:tcW w:w="3256" w:type="dxa"/>
            <w:tcBorders>
              <w:bottom w:val="single" w:sz="4" w:space="0" w:color="auto"/>
            </w:tcBorders>
          </w:tcPr>
          <w:p w14:paraId="241A06F1" w14:textId="77777777" w:rsidR="00A934DC" w:rsidRPr="00CC62FC" w:rsidRDefault="00A934DC" w:rsidP="00663BBC">
            <w:pPr>
              <w:rPr>
                <w:rFonts w:cs="Arial"/>
                <w:szCs w:val="24"/>
              </w:rPr>
            </w:pPr>
            <w:r w:rsidRPr="00CC62FC">
              <w:rPr>
                <w:rFonts w:cs="Arial"/>
                <w:szCs w:val="24"/>
              </w:rPr>
              <w:t>Politics/International Relations</w:t>
            </w:r>
          </w:p>
        </w:tc>
        <w:tc>
          <w:tcPr>
            <w:tcW w:w="1134" w:type="dxa"/>
            <w:tcBorders>
              <w:bottom w:val="single" w:sz="4" w:space="0" w:color="auto"/>
            </w:tcBorders>
          </w:tcPr>
          <w:p w14:paraId="15890E04" w14:textId="77777777" w:rsidR="00A934DC" w:rsidRPr="00CC62FC" w:rsidRDefault="00A934DC" w:rsidP="00663BBC">
            <w:pPr>
              <w:rPr>
                <w:rFonts w:cs="Arial"/>
                <w:szCs w:val="24"/>
              </w:rPr>
            </w:pPr>
            <w:r w:rsidRPr="00CC62FC">
              <w:rPr>
                <w:rFonts w:cs="Arial"/>
                <w:szCs w:val="24"/>
              </w:rPr>
              <w:t>3</w:t>
            </w:r>
          </w:p>
        </w:tc>
        <w:tc>
          <w:tcPr>
            <w:tcW w:w="1134" w:type="dxa"/>
            <w:tcBorders>
              <w:bottom w:val="single" w:sz="4" w:space="0" w:color="auto"/>
            </w:tcBorders>
          </w:tcPr>
          <w:p w14:paraId="45EB6759" w14:textId="77777777" w:rsidR="00A934DC" w:rsidRPr="00CC62FC" w:rsidRDefault="00A934DC" w:rsidP="00663BBC">
            <w:pPr>
              <w:rPr>
                <w:rFonts w:cs="Arial"/>
                <w:szCs w:val="24"/>
              </w:rPr>
            </w:pPr>
            <w:r w:rsidRPr="00CC62FC">
              <w:rPr>
                <w:rFonts w:cs="Arial"/>
                <w:szCs w:val="24"/>
              </w:rPr>
              <w:t>5</w:t>
            </w:r>
          </w:p>
        </w:tc>
        <w:tc>
          <w:tcPr>
            <w:tcW w:w="1134" w:type="dxa"/>
            <w:tcBorders>
              <w:bottom w:val="single" w:sz="4" w:space="0" w:color="auto"/>
            </w:tcBorders>
          </w:tcPr>
          <w:p w14:paraId="72E8AE80" w14:textId="77777777" w:rsidR="00A934DC" w:rsidRPr="00CC62FC" w:rsidRDefault="00A934DC" w:rsidP="00663BBC">
            <w:pPr>
              <w:rPr>
                <w:rFonts w:cs="Arial"/>
                <w:szCs w:val="24"/>
              </w:rPr>
            </w:pPr>
            <w:r w:rsidRPr="00CC62FC">
              <w:rPr>
                <w:rFonts w:cs="Arial"/>
                <w:szCs w:val="24"/>
              </w:rPr>
              <w:t>5</w:t>
            </w:r>
          </w:p>
        </w:tc>
      </w:tr>
      <w:tr w:rsidR="00A934DC" w:rsidRPr="00CC62FC" w14:paraId="1B639765" w14:textId="77777777" w:rsidTr="00663BBC">
        <w:tc>
          <w:tcPr>
            <w:tcW w:w="3256" w:type="dxa"/>
            <w:tcBorders>
              <w:top w:val="single" w:sz="4" w:space="0" w:color="auto"/>
              <w:left w:val="single" w:sz="4" w:space="0" w:color="auto"/>
              <w:bottom w:val="single" w:sz="4" w:space="0" w:color="auto"/>
              <w:right w:val="single" w:sz="4" w:space="0" w:color="auto"/>
            </w:tcBorders>
          </w:tcPr>
          <w:p w14:paraId="0DD09637" w14:textId="77777777" w:rsidR="00A934DC" w:rsidRPr="00CC62FC" w:rsidRDefault="00A934DC" w:rsidP="00663BBC">
            <w:pPr>
              <w:rPr>
                <w:rFonts w:cs="Arial"/>
                <w:szCs w:val="24"/>
              </w:rPr>
            </w:pPr>
            <w:r w:rsidRPr="00CC62FC">
              <w:rPr>
                <w:rFonts w:cs="Arial"/>
                <w:szCs w:val="24"/>
              </w:rPr>
              <w:t>Psychology</w:t>
            </w:r>
          </w:p>
        </w:tc>
        <w:tc>
          <w:tcPr>
            <w:tcW w:w="1134" w:type="dxa"/>
            <w:tcBorders>
              <w:top w:val="single" w:sz="4" w:space="0" w:color="auto"/>
              <w:left w:val="single" w:sz="4" w:space="0" w:color="auto"/>
              <w:bottom w:val="single" w:sz="4" w:space="0" w:color="auto"/>
              <w:right w:val="single" w:sz="4" w:space="0" w:color="auto"/>
            </w:tcBorders>
          </w:tcPr>
          <w:p w14:paraId="161F77C7" w14:textId="77777777" w:rsidR="00A934DC" w:rsidRPr="00CC62FC" w:rsidRDefault="00A934DC" w:rsidP="00663BBC">
            <w:pPr>
              <w:rPr>
                <w:rFonts w:cs="Arial"/>
                <w:szCs w:val="24"/>
              </w:rPr>
            </w:pPr>
            <w:r w:rsidRPr="00CC62FC">
              <w:rPr>
                <w:rFonts w:cs="Arial"/>
                <w:szCs w:val="24"/>
              </w:rPr>
              <w:t>2</w:t>
            </w:r>
          </w:p>
        </w:tc>
        <w:tc>
          <w:tcPr>
            <w:tcW w:w="1134" w:type="dxa"/>
            <w:tcBorders>
              <w:top w:val="single" w:sz="4" w:space="0" w:color="auto"/>
              <w:left w:val="single" w:sz="4" w:space="0" w:color="auto"/>
              <w:bottom w:val="single" w:sz="4" w:space="0" w:color="auto"/>
              <w:right w:val="single" w:sz="4" w:space="0" w:color="auto"/>
            </w:tcBorders>
          </w:tcPr>
          <w:p w14:paraId="5042BED2" w14:textId="77777777" w:rsidR="00A934DC" w:rsidRPr="00CC62FC" w:rsidRDefault="00A934DC" w:rsidP="00663BBC">
            <w:pPr>
              <w:rPr>
                <w:rFonts w:cs="Arial"/>
                <w:szCs w:val="24"/>
              </w:rPr>
            </w:pPr>
            <w:r w:rsidRPr="00CC62FC">
              <w:rPr>
                <w:rFonts w:cs="Arial"/>
                <w:szCs w:val="24"/>
              </w:rPr>
              <w:t>1</w:t>
            </w:r>
          </w:p>
        </w:tc>
        <w:tc>
          <w:tcPr>
            <w:tcW w:w="1134" w:type="dxa"/>
            <w:tcBorders>
              <w:top w:val="single" w:sz="4" w:space="0" w:color="auto"/>
              <w:left w:val="single" w:sz="4" w:space="0" w:color="auto"/>
              <w:bottom w:val="single" w:sz="4" w:space="0" w:color="auto"/>
              <w:right w:val="single" w:sz="4" w:space="0" w:color="auto"/>
            </w:tcBorders>
          </w:tcPr>
          <w:p w14:paraId="2B9F5A9A" w14:textId="77777777" w:rsidR="00A934DC" w:rsidRPr="00CC62FC" w:rsidRDefault="00A934DC" w:rsidP="00663BBC">
            <w:pPr>
              <w:rPr>
                <w:rFonts w:cs="Arial"/>
                <w:szCs w:val="24"/>
              </w:rPr>
            </w:pPr>
            <w:r w:rsidRPr="00CC62FC">
              <w:rPr>
                <w:rFonts w:cs="Arial"/>
                <w:szCs w:val="24"/>
              </w:rPr>
              <w:t>2</w:t>
            </w:r>
          </w:p>
        </w:tc>
      </w:tr>
      <w:tr w:rsidR="00A934DC" w:rsidRPr="00CC62FC" w14:paraId="58CF3890" w14:textId="77777777" w:rsidTr="00663BBC">
        <w:tc>
          <w:tcPr>
            <w:tcW w:w="3256" w:type="dxa"/>
            <w:tcBorders>
              <w:top w:val="single" w:sz="4" w:space="0" w:color="auto"/>
              <w:left w:val="single" w:sz="4" w:space="0" w:color="auto"/>
              <w:bottom w:val="single" w:sz="4" w:space="0" w:color="auto"/>
              <w:right w:val="single" w:sz="4" w:space="0" w:color="auto"/>
            </w:tcBorders>
          </w:tcPr>
          <w:p w14:paraId="56B3C22D" w14:textId="77777777" w:rsidR="00A934DC" w:rsidRPr="00CC62FC" w:rsidRDefault="00A934DC" w:rsidP="00663BBC">
            <w:pPr>
              <w:rPr>
                <w:rFonts w:cs="Arial"/>
                <w:szCs w:val="24"/>
              </w:rPr>
            </w:pPr>
            <w:r w:rsidRPr="00CC62FC">
              <w:rPr>
                <w:rFonts w:cs="Arial"/>
                <w:szCs w:val="24"/>
              </w:rPr>
              <w:t>Social Sciences</w:t>
            </w:r>
          </w:p>
        </w:tc>
        <w:tc>
          <w:tcPr>
            <w:tcW w:w="1134" w:type="dxa"/>
            <w:tcBorders>
              <w:top w:val="single" w:sz="4" w:space="0" w:color="auto"/>
              <w:left w:val="single" w:sz="4" w:space="0" w:color="auto"/>
              <w:bottom w:val="single" w:sz="4" w:space="0" w:color="auto"/>
              <w:right w:val="single" w:sz="4" w:space="0" w:color="auto"/>
            </w:tcBorders>
          </w:tcPr>
          <w:p w14:paraId="492D12F0" w14:textId="77777777" w:rsidR="00A934DC" w:rsidRPr="00CC62FC" w:rsidRDefault="00A934DC" w:rsidP="00663BBC">
            <w:pPr>
              <w:rPr>
                <w:rFonts w:cs="Arial"/>
                <w:szCs w:val="24"/>
              </w:rPr>
            </w:pPr>
          </w:p>
        </w:tc>
        <w:tc>
          <w:tcPr>
            <w:tcW w:w="1134" w:type="dxa"/>
            <w:tcBorders>
              <w:top w:val="single" w:sz="4" w:space="0" w:color="auto"/>
              <w:left w:val="single" w:sz="4" w:space="0" w:color="auto"/>
              <w:bottom w:val="single" w:sz="4" w:space="0" w:color="auto"/>
              <w:right w:val="single" w:sz="4" w:space="0" w:color="auto"/>
            </w:tcBorders>
          </w:tcPr>
          <w:p w14:paraId="613C4BD0" w14:textId="77777777" w:rsidR="00A934DC" w:rsidRPr="00CC62FC" w:rsidRDefault="00A934DC" w:rsidP="00663BBC">
            <w:pPr>
              <w:rPr>
                <w:rFonts w:cs="Arial"/>
                <w:szCs w:val="24"/>
              </w:rPr>
            </w:pPr>
            <w:r w:rsidRPr="00CC62FC">
              <w:rPr>
                <w:rFonts w:cs="Arial"/>
                <w:szCs w:val="24"/>
              </w:rPr>
              <w:t>2</w:t>
            </w:r>
          </w:p>
        </w:tc>
        <w:tc>
          <w:tcPr>
            <w:tcW w:w="1134" w:type="dxa"/>
            <w:tcBorders>
              <w:top w:val="single" w:sz="4" w:space="0" w:color="auto"/>
              <w:left w:val="single" w:sz="4" w:space="0" w:color="auto"/>
              <w:bottom w:val="single" w:sz="4" w:space="0" w:color="auto"/>
              <w:right w:val="single" w:sz="4" w:space="0" w:color="auto"/>
            </w:tcBorders>
          </w:tcPr>
          <w:p w14:paraId="61356777" w14:textId="77777777" w:rsidR="00A934DC" w:rsidRPr="00CC62FC" w:rsidRDefault="00A934DC" w:rsidP="00663BBC">
            <w:pPr>
              <w:rPr>
                <w:rFonts w:cs="Arial"/>
                <w:szCs w:val="24"/>
              </w:rPr>
            </w:pPr>
            <w:r w:rsidRPr="00CC62FC">
              <w:rPr>
                <w:rFonts w:cs="Arial"/>
                <w:szCs w:val="24"/>
              </w:rPr>
              <w:t>2</w:t>
            </w:r>
          </w:p>
        </w:tc>
      </w:tr>
    </w:tbl>
    <w:p w14:paraId="20B9E194" w14:textId="77777777" w:rsidR="00A934DC" w:rsidRPr="00CC62FC" w:rsidRDefault="00A934DC" w:rsidP="00A934DC">
      <w:pPr>
        <w:rPr>
          <w:rFonts w:cs="Arial"/>
          <w:szCs w:val="24"/>
        </w:rPr>
      </w:pPr>
    </w:p>
    <w:p w14:paraId="160FA882" w14:textId="77777777" w:rsidR="00A934DC" w:rsidRPr="00CC62FC" w:rsidRDefault="00A934DC" w:rsidP="00A934DC">
      <w:pPr>
        <w:rPr>
          <w:rFonts w:cs="Arial"/>
          <w:szCs w:val="24"/>
        </w:rPr>
      </w:pPr>
      <w:r w:rsidRPr="00CC62FC">
        <w:rPr>
          <w:rFonts w:cs="Arial"/>
          <w:szCs w:val="24"/>
        </w:rPr>
        <w:t>Table 2: Dates of study</w:t>
      </w:r>
    </w:p>
    <w:p w14:paraId="71C0507A" w14:textId="77777777" w:rsidR="00A934DC" w:rsidRPr="00CC62FC" w:rsidRDefault="00A934DC" w:rsidP="00A934DC">
      <w:pPr>
        <w:rPr>
          <w:rFonts w:cs="Arial"/>
          <w:szCs w:val="24"/>
        </w:rPr>
      </w:pPr>
    </w:p>
    <w:tbl>
      <w:tblPr>
        <w:tblStyle w:val="TableGrid"/>
        <w:tblW w:w="0" w:type="auto"/>
        <w:tblLook w:val="04A0" w:firstRow="1" w:lastRow="0" w:firstColumn="1" w:lastColumn="0" w:noHBand="0" w:noVBand="1"/>
      </w:tblPr>
      <w:tblGrid>
        <w:gridCol w:w="2972"/>
        <w:gridCol w:w="1134"/>
      </w:tblGrid>
      <w:tr w:rsidR="00A934DC" w:rsidRPr="00CC62FC" w14:paraId="2E9872AF" w14:textId="77777777" w:rsidTr="00663BBC">
        <w:tc>
          <w:tcPr>
            <w:tcW w:w="2972" w:type="dxa"/>
          </w:tcPr>
          <w:p w14:paraId="79DC3C92" w14:textId="77777777" w:rsidR="00A934DC" w:rsidRPr="00CC62FC" w:rsidRDefault="00A934DC" w:rsidP="00663BBC">
            <w:pPr>
              <w:rPr>
                <w:rFonts w:cs="Arial"/>
                <w:szCs w:val="24"/>
              </w:rPr>
            </w:pPr>
            <w:r w:rsidRPr="00CC62FC">
              <w:rPr>
                <w:rFonts w:cs="Arial"/>
                <w:szCs w:val="24"/>
              </w:rPr>
              <w:t>Periods of study</w:t>
            </w:r>
          </w:p>
        </w:tc>
        <w:tc>
          <w:tcPr>
            <w:tcW w:w="1134" w:type="dxa"/>
          </w:tcPr>
          <w:p w14:paraId="110CAEBE" w14:textId="77777777" w:rsidR="00A934DC" w:rsidRPr="00CC62FC" w:rsidRDefault="00A934DC" w:rsidP="00663BBC">
            <w:pPr>
              <w:rPr>
                <w:rFonts w:cs="Arial"/>
                <w:szCs w:val="24"/>
              </w:rPr>
            </w:pPr>
            <w:r w:rsidRPr="00CC62FC">
              <w:rPr>
                <w:rFonts w:cs="Arial"/>
                <w:szCs w:val="24"/>
              </w:rPr>
              <w:t>Number</w:t>
            </w:r>
          </w:p>
        </w:tc>
      </w:tr>
      <w:tr w:rsidR="00A934DC" w:rsidRPr="00CC62FC" w14:paraId="43FED3E6" w14:textId="77777777" w:rsidTr="00663BBC">
        <w:tc>
          <w:tcPr>
            <w:tcW w:w="2972" w:type="dxa"/>
          </w:tcPr>
          <w:p w14:paraId="29747E3D" w14:textId="77777777" w:rsidR="00A934DC" w:rsidRPr="00CC62FC" w:rsidRDefault="00A934DC" w:rsidP="00663BBC">
            <w:pPr>
              <w:rPr>
                <w:rFonts w:cs="Arial"/>
                <w:szCs w:val="24"/>
              </w:rPr>
            </w:pPr>
            <w:r w:rsidRPr="00CC62FC">
              <w:rPr>
                <w:rFonts w:cs="Arial"/>
                <w:szCs w:val="24"/>
              </w:rPr>
              <w:lastRenderedPageBreak/>
              <w:t>All before 2010</w:t>
            </w:r>
          </w:p>
        </w:tc>
        <w:tc>
          <w:tcPr>
            <w:tcW w:w="1134" w:type="dxa"/>
          </w:tcPr>
          <w:p w14:paraId="751BBBC1" w14:textId="77777777" w:rsidR="00A934DC" w:rsidRPr="00CC62FC" w:rsidRDefault="00A934DC" w:rsidP="00663BBC">
            <w:pPr>
              <w:rPr>
                <w:rFonts w:cs="Arial"/>
                <w:szCs w:val="24"/>
              </w:rPr>
            </w:pPr>
            <w:r w:rsidRPr="00CC62FC">
              <w:rPr>
                <w:rFonts w:cs="Arial"/>
                <w:szCs w:val="24"/>
              </w:rPr>
              <w:t>3</w:t>
            </w:r>
          </w:p>
        </w:tc>
      </w:tr>
      <w:tr w:rsidR="00A934DC" w:rsidRPr="00CC62FC" w14:paraId="0EBEC81D" w14:textId="77777777" w:rsidTr="00663BBC">
        <w:tc>
          <w:tcPr>
            <w:tcW w:w="2972" w:type="dxa"/>
          </w:tcPr>
          <w:p w14:paraId="2213F0E7" w14:textId="77777777" w:rsidR="00A934DC" w:rsidRPr="00CC62FC" w:rsidRDefault="00A934DC" w:rsidP="00663BBC">
            <w:pPr>
              <w:rPr>
                <w:rFonts w:cs="Arial"/>
                <w:szCs w:val="24"/>
              </w:rPr>
            </w:pPr>
            <w:r w:rsidRPr="00CC62FC">
              <w:rPr>
                <w:rFonts w:cs="Arial"/>
                <w:szCs w:val="24"/>
              </w:rPr>
              <w:t>Before 2010 and after 2010</w:t>
            </w:r>
          </w:p>
        </w:tc>
        <w:tc>
          <w:tcPr>
            <w:tcW w:w="1134" w:type="dxa"/>
          </w:tcPr>
          <w:p w14:paraId="720D994B" w14:textId="77777777" w:rsidR="00A934DC" w:rsidRPr="00CC62FC" w:rsidRDefault="00A934DC" w:rsidP="00663BBC">
            <w:pPr>
              <w:rPr>
                <w:rFonts w:cs="Arial"/>
                <w:szCs w:val="24"/>
              </w:rPr>
            </w:pPr>
            <w:r w:rsidRPr="00CC62FC">
              <w:rPr>
                <w:rFonts w:cs="Arial"/>
                <w:szCs w:val="24"/>
              </w:rPr>
              <w:t>7</w:t>
            </w:r>
          </w:p>
        </w:tc>
      </w:tr>
      <w:tr w:rsidR="00A934DC" w:rsidRPr="00CC62FC" w14:paraId="343D5DC2" w14:textId="77777777" w:rsidTr="00663BBC">
        <w:tc>
          <w:tcPr>
            <w:tcW w:w="2972" w:type="dxa"/>
          </w:tcPr>
          <w:p w14:paraId="480FA95F" w14:textId="77777777" w:rsidR="00A934DC" w:rsidRPr="00CC62FC" w:rsidRDefault="00A934DC" w:rsidP="00663BBC">
            <w:pPr>
              <w:rPr>
                <w:rFonts w:cs="Arial"/>
                <w:szCs w:val="24"/>
              </w:rPr>
            </w:pPr>
            <w:r w:rsidRPr="00CC62FC">
              <w:rPr>
                <w:rFonts w:cs="Arial"/>
                <w:szCs w:val="24"/>
              </w:rPr>
              <w:t>After 2010 only</w:t>
            </w:r>
          </w:p>
        </w:tc>
        <w:tc>
          <w:tcPr>
            <w:tcW w:w="1134" w:type="dxa"/>
          </w:tcPr>
          <w:p w14:paraId="1BE17B21" w14:textId="77777777" w:rsidR="00A934DC" w:rsidRPr="00CC62FC" w:rsidRDefault="00A934DC" w:rsidP="00663BBC">
            <w:pPr>
              <w:rPr>
                <w:rFonts w:cs="Arial"/>
                <w:szCs w:val="24"/>
              </w:rPr>
            </w:pPr>
            <w:r w:rsidRPr="00CC62FC">
              <w:rPr>
                <w:rFonts w:cs="Arial"/>
                <w:szCs w:val="24"/>
              </w:rPr>
              <w:t>8</w:t>
            </w:r>
          </w:p>
        </w:tc>
      </w:tr>
      <w:tr w:rsidR="00A934DC" w:rsidRPr="00CC62FC" w14:paraId="1068B312" w14:textId="77777777" w:rsidTr="00663BBC">
        <w:tc>
          <w:tcPr>
            <w:tcW w:w="2972" w:type="dxa"/>
          </w:tcPr>
          <w:p w14:paraId="31429ADE" w14:textId="77777777" w:rsidR="00A934DC" w:rsidRPr="00CC62FC" w:rsidRDefault="00A934DC" w:rsidP="00663BBC">
            <w:pPr>
              <w:rPr>
                <w:rFonts w:cs="Arial"/>
                <w:szCs w:val="24"/>
              </w:rPr>
            </w:pPr>
          </w:p>
        </w:tc>
        <w:tc>
          <w:tcPr>
            <w:tcW w:w="1134" w:type="dxa"/>
          </w:tcPr>
          <w:p w14:paraId="633C03BF" w14:textId="77777777" w:rsidR="00A934DC" w:rsidRPr="00CC62FC" w:rsidRDefault="00A934DC" w:rsidP="00663BBC">
            <w:pPr>
              <w:rPr>
                <w:rFonts w:cs="Arial"/>
                <w:szCs w:val="24"/>
              </w:rPr>
            </w:pPr>
          </w:p>
        </w:tc>
      </w:tr>
      <w:tr w:rsidR="00A934DC" w:rsidRPr="00CC62FC" w14:paraId="6E510B04" w14:textId="77777777" w:rsidTr="00663BBC">
        <w:tc>
          <w:tcPr>
            <w:tcW w:w="2972" w:type="dxa"/>
          </w:tcPr>
          <w:p w14:paraId="1BAA769C" w14:textId="77777777" w:rsidR="00A934DC" w:rsidRPr="00CC62FC" w:rsidRDefault="00A934DC" w:rsidP="00663BBC">
            <w:pPr>
              <w:rPr>
                <w:rFonts w:cs="Arial"/>
                <w:szCs w:val="24"/>
              </w:rPr>
            </w:pPr>
            <w:r w:rsidRPr="00CC62FC">
              <w:rPr>
                <w:rFonts w:cs="Arial"/>
                <w:szCs w:val="24"/>
              </w:rPr>
              <w:t>Completed studies</w:t>
            </w:r>
          </w:p>
        </w:tc>
        <w:tc>
          <w:tcPr>
            <w:tcW w:w="1134" w:type="dxa"/>
          </w:tcPr>
          <w:p w14:paraId="7594F391" w14:textId="77777777" w:rsidR="00A934DC" w:rsidRPr="00CC62FC" w:rsidRDefault="00A934DC" w:rsidP="00663BBC">
            <w:pPr>
              <w:rPr>
                <w:rFonts w:cs="Arial"/>
                <w:szCs w:val="24"/>
              </w:rPr>
            </w:pPr>
            <w:r w:rsidRPr="00CC62FC">
              <w:rPr>
                <w:rFonts w:cs="Arial"/>
                <w:szCs w:val="24"/>
              </w:rPr>
              <w:t>10</w:t>
            </w:r>
          </w:p>
        </w:tc>
      </w:tr>
      <w:tr w:rsidR="00A934DC" w:rsidRPr="00CC62FC" w14:paraId="60548F7E" w14:textId="77777777" w:rsidTr="00663BBC">
        <w:tc>
          <w:tcPr>
            <w:tcW w:w="2972" w:type="dxa"/>
          </w:tcPr>
          <w:p w14:paraId="362096B5" w14:textId="77777777" w:rsidR="00A934DC" w:rsidRPr="00CC62FC" w:rsidRDefault="00A934DC" w:rsidP="00663BBC">
            <w:pPr>
              <w:rPr>
                <w:rFonts w:cs="Arial"/>
                <w:szCs w:val="24"/>
              </w:rPr>
            </w:pPr>
            <w:r w:rsidRPr="00CC62FC">
              <w:rPr>
                <w:rFonts w:cs="Arial"/>
                <w:szCs w:val="24"/>
              </w:rPr>
              <w:t>Still studying</w:t>
            </w:r>
          </w:p>
        </w:tc>
        <w:tc>
          <w:tcPr>
            <w:tcW w:w="1134" w:type="dxa"/>
          </w:tcPr>
          <w:p w14:paraId="1B427A25" w14:textId="77777777" w:rsidR="00A934DC" w:rsidRPr="00CC62FC" w:rsidRDefault="00A934DC" w:rsidP="00663BBC">
            <w:pPr>
              <w:rPr>
                <w:rFonts w:cs="Arial"/>
                <w:szCs w:val="24"/>
              </w:rPr>
            </w:pPr>
            <w:r w:rsidRPr="00CC62FC">
              <w:rPr>
                <w:rFonts w:cs="Arial"/>
                <w:szCs w:val="24"/>
              </w:rPr>
              <w:t>8</w:t>
            </w:r>
          </w:p>
        </w:tc>
      </w:tr>
    </w:tbl>
    <w:p w14:paraId="2711BB81" w14:textId="77777777" w:rsidR="00A934DC" w:rsidRPr="00CC62FC" w:rsidRDefault="00A934DC" w:rsidP="00A934DC">
      <w:pPr>
        <w:rPr>
          <w:rFonts w:cs="Arial"/>
          <w:szCs w:val="24"/>
        </w:rPr>
      </w:pPr>
    </w:p>
    <w:p w14:paraId="6E52F876" w14:textId="77777777" w:rsidR="00A934DC" w:rsidRPr="00CC62FC" w:rsidRDefault="00A934DC" w:rsidP="00A934DC">
      <w:pPr>
        <w:rPr>
          <w:rFonts w:cs="Arial"/>
          <w:szCs w:val="24"/>
        </w:rPr>
      </w:pPr>
      <w:r w:rsidRPr="00CC62FC">
        <w:rPr>
          <w:rFonts w:cs="Arial"/>
          <w:szCs w:val="24"/>
        </w:rPr>
        <w:t>Table 3: Ages of respondents</w:t>
      </w:r>
    </w:p>
    <w:p w14:paraId="0012B457" w14:textId="77777777" w:rsidR="00A934DC" w:rsidRPr="00CC62FC" w:rsidRDefault="00A934DC" w:rsidP="00A934DC">
      <w:pPr>
        <w:rPr>
          <w:rFonts w:cs="Arial"/>
          <w:szCs w:val="24"/>
        </w:rPr>
      </w:pPr>
    </w:p>
    <w:tbl>
      <w:tblPr>
        <w:tblStyle w:val="TableGrid"/>
        <w:tblW w:w="0" w:type="auto"/>
        <w:tblLook w:val="04A0" w:firstRow="1" w:lastRow="0" w:firstColumn="1" w:lastColumn="0" w:noHBand="0" w:noVBand="1"/>
      </w:tblPr>
      <w:tblGrid>
        <w:gridCol w:w="4508"/>
        <w:gridCol w:w="4508"/>
      </w:tblGrid>
      <w:tr w:rsidR="00A934DC" w:rsidRPr="00CC62FC" w14:paraId="23A753CA" w14:textId="77777777" w:rsidTr="00663BBC">
        <w:tc>
          <w:tcPr>
            <w:tcW w:w="4508" w:type="dxa"/>
          </w:tcPr>
          <w:p w14:paraId="689D2F9D" w14:textId="77777777" w:rsidR="00A934DC" w:rsidRPr="00CC62FC" w:rsidRDefault="00A934DC" w:rsidP="00663BBC">
            <w:pPr>
              <w:rPr>
                <w:rFonts w:cs="Arial"/>
                <w:szCs w:val="24"/>
              </w:rPr>
            </w:pPr>
            <w:r w:rsidRPr="00CC62FC">
              <w:rPr>
                <w:rFonts w:cs="Arial"/>
                <w:szCs w:val="24"/>
              </w:rPr>
              <w:t>Age</w:t>
            </w:r>
          </w:p>
        </w:tc>
        <w:tc>
          <w:tcPr>
            <w:tcW w:w="4508" w:type="dxa"/>
          </w:tcPr>
          <w:p w14:paraId="71389B36" w14:textId="77777777" w:rsidR="00A934DC" w:rsidRPr="00CC62FC" w:rsidRDefault="00A934DC" w:rsidP="00663BBC">
            <w:pPr>
              <w:rPr>
                <w:rFonts w:cs="Arial"/>
                <w:szCs w:val="24"/>
              </w:rPr>
            </w:pPr>
            <w:r w:rsidRPr="00CC62FC">
              <w:rPr>
                <w:rFonts w:cs="Arial"/>
                <w:szCs w:val="24"/>
              </w:rPr>
              <w:t>Number</w:t>
            </w:r>
          </w:p>
        </w:tc>
      </w:tr>
      <w:tr w:rsidR="00A934DC" w:rsidRPr="00CC62FC" w14:paraId="106B2418" w14:textId="77777777" w:rsidTr="00663BBC">
        <w:tc>
          <w:tcPr>
            <w:tcW w:w="4508" w:type="dxa"/>
          </w:tcPr>
          <w:p w14:paraId="654638E2" w14:textId="77777777" w:rsidR="00A934DC" w:rsidRPr="00CC62FC" w:rsidRDefault="00A934DC" w:rsidP="00663BBC">
            <w:pPr>
              <w:rPr>
                <w:rFonts w:cs="Arial"/>
                <w:szCs w:val="24"/>
              </w:rPr>
            </w:pPr>
            <w:r w:rsidRPr="00CC62FC">
              <w:rPr>
                <w:rFonts w:cs="Arial"/>
                <w:szCs w:val="24"/>
              </w:rPr>
              <w:t>18–21</w:t>
            </w:r>
          </w:p>
        </w:tc>
        <w:tc>
          <w:tcPr>
            <w:tcW w:w="4508" w:type="dxa"/>
          </w:tcPr>
          <w:p w14:paraId="52012166" w14:textId="77777777" w:rsidR="00A934DC" w:rsidRPr="00CC62FC" w:rsidRDefault="00A934DC" w:rsidP="00663BBC">
            <w:pPr>
              <w:rPr>
                <w:rFonts w:cs="Arial"/>
                <w:szCs w:val="24"/>
              </w:rPr>
            </w:pPr>
            <w:r w:rsidRPr="00CC62FC">
              <w:rPr>
                <w:rFonts w:cs="Arial"/>
                <w:szCs w:val="24"/>
              </w:rPr>
              <w:t>1</w:t>
            </w:r>
          </w:p>
        </w:tc>
      </w:tr>
      <w:tr w:rsidR="00A934DC" w:rsidRPr="00CC62FC" w14:paraId="17A04E81" w14:textId="77777777" w:rsidTr="00663BBC">
        <w:tc>
          <w:tcPr>
            <w:tcW w:w="4508" w:type="dxa"/>
          </w:tcPr>
          <w:p w14:paraId="79545E9E" w14:textId="77777777" w:rsidR="00A934DC" w:rsidRPr="00CC62FC" w:rsidRDefault="00A934DC" w:rsidP="00663BBC">
            <w:pPr>
              <w:rPr>
                <w:rFonts w:cs="Arial"/>
                <w:szCs w:val="24"/>
              </w:rPr>
            </w:pPr>
            <w:r w:rsidRPr="00CC62FC">
              <w:rPr>
                <w:rFonts w:cs="Arial"/>
                <w:szCs w:val="24"/>
              </w:rPr>
              <w:t>22–25</w:t>
            </w:r>
          </w:p>
        </w:tc>
        <w:tc>
          <w:tcPr>
            <w:tcW w:w="4508" w:type="dxa"/>
          </w:tcPr>
          <w:p w14:paraId="34BED28E" w14:textId="77777777" w:rsidR="00A934DC" w:rsidRPr="00CC62FC" w:rsidRDefault="00A934DC" w:rsidP="00663BBC">
            <w:pPr>
              <w:rPr>
                <w:rFonts w:cs="Arial"/>
                <w:szCs w:val="24"/>
              </w:rPr>
            </w:pPr>
            <w:r w:rsidRPr="00CC62FC">
              <w:rPr>
                <w:rFonts w:cs="Arial"/>
                <w:szCs w:val="24"/>
              </w:rPr>
              <w:t>7</w:t>
            </w:r>
          </w:p>
        </w:tc>
      </w:tr>
      <w:tr w:rsidR="00A934DC" w:rsidRPr="00CC62FC" w14:paraId="4E028E89" w14:textId="77777777" w:rsidTr="00663BBC">
        <w:tc>
          <w:tcPr>
            <w:tcW w:w="4508" w:type="dxa"/>
          </w:tcPr>
          <w:p w14:paraId="7BF07830" w14:textId="77777777" w:rsidR="00A934DC" w:rsidRPr="00CC62FC" w:rsidRDefault="00A934DC" w:rsidP="00663BBC">
            <w:pPr>
              <w:rPr>
                <w:rFonts w:cs="Arial"/>
                <w:szCs w:val="24"/>
              </w:rPr>
            </w:pPr>
            <w:r w:rsidRPr="00CC62FC">
              <w:rPr>
                <w:rFonts w:cs="Arial"/>
                <w:szCs w:val="24"/>
              </w:rPr>
              <w:t>26–34</w:t>
            </w:r>
          </w:p>
        </w:tc>
        <w:tc>
          <w:tcPr>
            <w:tcW w:w="4508" w:type="dxa"/>
          </w:tcPr>
          <w:p w14:paraId="533FB4A9" w14:textId="77777777" w:rsidR="00A934DC" w:rsidRPr="00CC62FC" w:rsidRDefault="00A934DC" w:rsidP="00663BBC">
            <w:pPr>
              <w:rPr>
                <w:rFonts w:cs="Arial"/>
                <w:szCs w:val="24"/>
              </w:rPr>
            </w:pPr>
            <w:r w:rsidRPr="00CC62FC">
              <w:rPr>
                <w:rFonts w:cs="Arial"/>
                <w:szCs w:val="24"/>
              </w:rPr>
              <w:t>7</w:t>
            </w:r>
          </w:p>
        </w:tc>
      </w:tr>
      <w:tr w:rsidR="00A934DC" w:rsidRPr="00CC62FC" w14:paraId="6B69AA78" w14:textId="77777777" w:rsidTr="00663BBC">
        <w:tc>
          <w:tcPr>
            <w:tcW w:w="4508" w:type="dxa"/>
          </w:tcPr>
          <w:p w14:paraId="53230120" w14:textId="77777777" w:rsidR="00A934DC" w:rsidRPr="00CC62FC" w:rsidRDefault="00A934DC" w:rsidP="00663BBC">
            <w:pPr>
              <w:rPr>
                <w:rFonts w:cs="Arial"/>
                <w:szCs w:val="24"/>
              </w:rPr>
            </w:pPr>
            <w:r w:rsidRPr="00CC62FC">
              <w:rPr>
                <w:rFonts w:cs="Arial"/>
                <w:szCs w:val="24"/>
              </w:rPr>
              <w:t>35–44</w:t>
            </w:r>
          </w:p>
        </w:tc>
        <w:tc>
          <w:tcPr>
            <w:tcW w:w="4508" w:type="dxa"/>
          </w:tcPr>
          <w:p w14:paraId="00EEFCEC" w14:textId="77777777" w:rsidR="00A934DC" w:rsidRPr="00CC62FC" w:rsidRDefault="00A934DC" w:rsidP="00663BBC">
            <w:pPr>
              <w:rPr>
                <w:rFonts w:cs="Arial"/>
                <w:szCs w:val="24"/>
              </w:rPr>
            </w:pPr>
            <w:r w:rsidRPr="00CC62FC">
              <w:rPr>
                <w:rFonts w:cs="Arial"/>
                <w:szCs w:val="24"/>
              </w:rPr>
              <w:t>3</w:t>
            </w:r>
          </w:p>
        </w:tc>
      </w:tr>
    </w:tbl>
    <w:p w14:paraId="4FBDBB66" w14:textId="77777777" w:rsidR="00A934DC" w:rsidRPr="00CC62FC" w:rsidRDefault="00A934DC" w:rsidP="00A934DC">
      <w:pPr>
        <w:rPr>
          <w:rFonts w:cs="Arial"/>
          <w:szCs w:val="24"/>
        </w:rPr>
      </w:pPr>
    </w:p>
    <w:p w14:paraId="3CCB1C89" w14:textId="5B6205BA" w:rsidR="00A934DC" w:rsidRPr="00CC62FC" w:rsidRDefault="00A934DC" w:rsidP="003D0518">
      <w:pPr>
        <w:rPr>
          <w:rFonts w:cs="Arial"/>
          <w:szCs w:val="24"/>
        </w:rPr>
      </w:pPr>
      <w:r w:rsidRPr="00CC62FC">
        <w:rPr>
          <w:rFonts w:cs="Arial"/>
          <w:szCs w:val="24"/>
        </w:rPr>
        <w:t>Table 4: Genders of respondents</w:t>
      </w:r>
    </w:p>
    <w:p w14:paraId="57127D7F" w14:textId="77777777" w:rsidR="00A934DC" w:rsidRPr="00CC62FC" w:rsidRDefault="00A934DC" w:rsidP="00A934DC">
      <w:pPr>
        <w:rPr>
          <w:rFonts w:cs="Arial"/>
          <w:szCs w:val="24"/>
        </w:rPr>
      </w:pPr>
    </w:p>
    <w:tbl>
      <w:tblPr>
        <w:tblStyle w:val="TableGrid"/>
        <w:tblW w:w="0" w:type="auto"/>
        <w:tblLook w:val="04A0" w:firstRow="1" w:lastRow="0" w:firstColumn="1" w:lastColumn="0" w:noHBand="0" w:noVBand="1"/>
      </w:tblPr>
      <w:tblGrid>
        <w:gridCol w:w="4248"/>
        <w:gridCol w:w="1276"/>
      </w:tblGrid>
      <w:tr w:rsidR="00A934DC" w:rsidRPr="00CC62FC" w14:paraId="4AA88434" w14:textId="77777777" w:rsidTr="00663BBC">
        <w:tc>
          <w:tcPr>
            <w:tcW w:w="4248" w:type="dxa"/>
          </w:tcPr>
          <w:p w14:paraId="7B656725" w14:textId="77777777" w:rsidR="00A934DC" w:rsidRPr="00CC62FC" w:rsidRDefault="00A934DC" w:rsidP="00663BBC">
            <w:pPr>
              <w:rPr>
                <w:rFonts w:cs="Arial"/>
                <w:szCs w:val="24"/>
              </w:rPr>
            </w:pPr>
            <w:r w:rsidRPr="00CC62FC">
              <w:rPr>
                <w:rFonts w:cs="Arial"/>
                <w:szCs w:val="24"/>
              </w:rPr>
              <w:t>Gender</w:t>
            </w:r>
          </w:p>
        </w:tc>
        <w:tc>
          <w:tcPr>
            <w:tcW w:w="1276" w:type="dxa"/>
          </w:tcPr>
          <w:p w14:paraId="7C32F9DD" w14:textId="77777777" w:rsidR="00A934DC" w:rsidRPr="00CC62FC" w:rsidRDefault="00A934DC" w:rsidP="00663BBC">
            <w:pPr>
              <w:rPr>
                <w:rFonts w:cs="Arial"/>
                <w:szCs w:val="24"/>
              </w:rPr>
            </w:pPr>
            <w:r w:rsidRPr="00CC62FC">
              <w:rPr>
                <w:rFonts w:cs="Arial"/>
                <w:szCs w:val="24"/>
              </w:rPr>
              <w:t>Number</w:t>
            </w:r>
          </w:p>
        </w:tc>
      </w:tr>
      <w:tr w:rsidR="00A934DC" w:rsidRPr="00CC62FC" w14:paraId="382F4592" w14:textId="77777777" w:rsidTr="00663BBC">
        <w:tc>
          <w:tcPr>
            <w:tcW w:w="4248" w:type="dxa"/>
          </w:tcPr>
          <w:p w14:paraId="3DE48E8A" w14:textId="77777777" w:rsidR="00A934DC" w:rsidRPr="00CC62FC" w:rsidRDefault="00A934DC" w:rsidP="00663BBC">
            <w:pPr>
              <w:rPr>
                <w:rFonts w:cs="Arial"/>
                <w:szCs w:val="24"/>
              </w:rPr>
            </w:pPr>
            <w:r w:rsidRPr="00CC62FC">
              <w:rPr>
                <w:rFonts w:cs="Arial"/>
                <w:szCs w:val="24"/>
              </w:rPr>
              <w:t>Female</w:t>
            </w:r>
          </w:p>
        </w:tc>
        <w:tc>
          <w:tcPr>
            <w:tcW w:w="1276" w:type="dxa"/>
          </w:tcPr>
          <w:p w14:paraId="043D2133" w14:textId="77777777" w:rsidR="00A934DC" w:rsidRPr="00CC62FC" w:rsidRDefault="00A934DC" w:rsidP="00663BBC">
            <w:pPr>
              <w:rPr>
                <w:rFonts w:cs="Arial"/>
                <w:szCs w:val="24"/>
              </w:rPr>
            </w:pPr>
            <w:r w:rsidRPr="00CC62FC">
              <w:rPr>
                <w:rFonts w:cs="Arial"/>
                <w:szCs w:val="24"/>
              </w:rPr>
              <w:t>8</w:t>
            </w:r>
          </w:p>
        </w:tc>
      </w:tr>
      <w:tr w:rsidR="00A934DC" w:rsidRPr="00CC62FC" w14:paraId="5DED22D9" w14:textId="77777777" w:rsidTr="00663BBC">
        <w:tc>
          <w:tcPr>
            <w:tcW w:w="4248" w:type="dxa"/>
          </w:tcPr>
          <w:p w14:paraId="088CB3AE" w14:textId="77777777" w:rsidR="00A934DC" w:rsidRPr="00CC62FC" w:rsidRDefault="00A934DC" w:rsidP="00663BBC">
            <w:pPr>
              <w:rPr>
                <w:rFonts w:cs="Arial"/>
                <w:szCs w:val="24"/>
              </w:rPr>
            </w:pPr>
            <w:r w:rsidRPr="00CC62FC">
              <w:rPr>
                <w:rFonts w:cs="Arial"/>
                <w:szCs w:val="24"/>
              </w:rPr>
              <w:t>Male</w:t>
            </w:r>
          </w:p>
        </w:tc>
        <w:tc>
          <w:tcPr>
            <w:tcW w:w="1276" w:type="dxa"/>
          </w:tcPr>
          <w:p w14:paraId="18D5D22F" w14:textId="77777777" w:rsidR="00A934DC" w:rsidRPr="00CC62FC" w:rsidRDefault="00A934DC" w:rsidP="00663BBC">
            <w:pPr>
              <w:rPr>
                <w:rFonts w:cs="Arial"/>
                <w:szCs w:val="24"/>
              </w:rPr>
            </w:pPr>
            <w:r w:rsidRPr="00CC62FC">
              <w:rPr>
                <w:rFonts w:cs="Arial"/>
                <w:szCs w:val="24"/>
              </w:rPr>
              <w:t>5</w:t>
            </w:r>
          </w:p>
        </w:tc>
      </w:tr>
      <w:tr w:rsidR="00A934DC" w:rsidRPr="00CC62FC" w14:paraId="08558587" w14:textId="77777777" w:rsidTr="00663BBC">
        <w:tc>
          <w:tcPr>
            <w:tcW w:w="4248" w:type="dxa"/>
          </w:tcPr>
          <w:p w14:paraId="6D5ECD80" w14:textId="77777777" w:rsidR="00A934DC" w:rsidRPr="00CC62FC" w:rsidRDefault="00A934DC" w:rsidP="00663BBC">
            <w:pPr>
              <w:rPr>
                <w:rFonts w:cs="Arial"/>
                <w:szCs w:val="24"/>
              </w:rPr>
            </w:pPr>
            <w:r w:rsidRPr="00CC62FC">
              <w:rPr>
                <w:rFonts w:cs="Arial"/>
                <w:szCs w:val="24"/>
              </w:rPr>
              <w:t xml:space="preserve">Non-binary, </w:t>
            </w:r>
            <w:proofErr w:type="spellStart"/>
            <w:r w:rsidRPr="00CC62FC">
              <w:rPr>
                <w:rFonts w:cs="Arial"/>
                <w:szCs w:val="24"/>
              </w:rPr>
              <w:t>genderfluid</w:t>
            </w:r>
            <w:proofErr w:type="spellEnd"/>
            <w:r w:rsidRPr="00CC62FC">
              <w:rPr>
                <w:rFonts w:cs="Arial"/>
                <w:szCs w:val="24"/>
              </w:rPr>
              <w:t xml:space="preserve"> or </w:t>
            </w:r>
            <w:proofErr w:type="spellStart"/>
            <w:r w:rsidRPr="00CC62FC">
              <w:rPr>
                <w:rFonts w:cs="Arial"/>
                <w:szCs w:val="24"/>
              </w:rPr>
              <w:t>genderqueer</w:t>
            </w:r>
            <w:proofErr w:type="spellEnd"/>
            <w:r w:rsidRPr="00CC62FC">
              <w:rPr>
                <w:rStyle w:val="FootnoteReference"/>
                <w:rFonts w:cs="Arial"/>
                <w:szCs w:val="24"/>
              </w:rPr>
              <w:footnoteReference w:id="14"/>
            </w:r>
          </w:p>
        </w:tc>
        <w:tc>
          <w:tcPr>
            <w:tcW w:w="1276" w:type="dxa"/>
          </w:tcPr>
          <w:p w14:paraId="68FE8C34" w14:textId="77777777" w:rsidR="00A934DC" w:rsidRPr="00CC62FC" w:rsidRDefault="00A934DC" w:rsidP="00663BBC">
            <w:pPr>
              <w:rPr>
                <w:rFonts w:cs="Arial"/>
                <w:szCs w:val="24"/>
              </w:rPr>
            </w:pPr>
            <w:r w:rsidRPr="00CC62FC">
              <w:rPr>
                <w:rFonts w:cs="Arial"/>
                <w:szCs w:val="24"/>
              </w:rPr>
              <w:t>4</w:t>
            </w:r>
          </w:p>
        </w:tc>
      </w:tr>
      <w:tr w:rsidR="00A934DC" w:rsidRPr="00CC62FC" w14:paraId="7D9FE43A" w14:textId="77777777" w:rsidTr="00663BBC">
        <w:tc>
          <w:tcPr>
            <w:tcW w:w="4248" w:type="dxa"/>
          </w:tcPr>
          <w:p w14:paraId="53F04F54" w14:textId="77777777" w:rsidR="00A934DC" w:rsidRPr="00CC62FC" w:rsidRDefault="00A934DC" w:rsidP="00663BBC">
            <w:pPr>
              <w:rPr>
                <w:rFonts w:cs="Arial"/>
                <w:szCs w:val="24"/>
              </w:rPr>
            </w:pPr>
            <w:r w:rsidRPr="00CC62FC">
              <w:rPr>
                <w:rFonts w:cs="Arial"/>
                <w:szCs w:val="24"/>
              </w:rPr>
              <w:t>Not stated/Prefer not to say</w:t>
            </w:r>
          </w:p>
        </w:tc>
        <w:tc>
          <w:tcPr>
            <w:tcW w:w="1276" w:type="dxa"/>
          </w:tcPr>
          <w:p w14:paraId="452027B3" w14:textId="77777777" w:rsidR="00A934DC" w:rsidRPr="00CC62FC" w:rsidRDefault="00A934DC" w:rsidP="00663BBC">
            <w:pPr>
              <w:rPr>
                <w:rFonts w:cs="Arial"/>
                <w:szCs w:val="24"/>
              </w:rPr>
            </w:pPr>
            <w:r w:rsidRPr="00CC62FC">
              <w:rPr>
                <w:rFonts w:cs="Arial"/>
                <w:szCs w:val="24"/>
              </w:rPr>
              <w:t>1</w:t>
            </w:r>
          </w:p>
        </w:tc>
      </w:tr>
    </w:tbl>
    <w:p w14:paraId="7A037BFA" w14:textId="77777777" w:rsidR="00A934DC" w:rsidRPr="00CC62FC" w:rsidRDefault="00A934DC" w:rsidP="00A934DC">
      <w:pPr>
        <w:rPr>
          <w:rFonts w:cs="Arial"/>
          <w:szCs w:val="24"/>
        </w:rPr>
      </w:pPr>
    </w:p>
    <w:p w14:paraId="72B83036" w14:textId="77777777" w:rsidR="00A934DC" w:rsidRPr="00CC62FC" w:rsidRDefault="00A934DC" w:rsidP="00A934DC">
      <w:pPr>
        <w:rPr>
          <w:rFonts w:cs="Arial"/>
          <w:szCs w:val="24"/>
        </w:rPr>
      </w:pPr>
      <w:r w:rsidRPr="00CC62FC">
        <w:rPr>
          <w:rFonts w:cs="Arial"/>
          <w:szCs w:val="24"/>
        </w:rPr>
        <w:t>Table 5: Pronouns respondents asked me to use</w:t>
      </w:r>
    </w:p>
    <w:p w14:paraId="1F1E7457" w14:textId="77777777" w:rsidR="00A934DC" w:rsidRPr="00CC62FC" w:rsidRDefault="00A934DC" w:rsidP="00A934DC">
      <w:pPr>
        <w:rPr>
          <w:rFonts w:cs="Arial"/>
          <w:szCs w:val="24"/>
        </w:rPr>
      </w:pPr>
    </w:p>
    <w:tbl>
      <w:tblPr>
        <w:tblStyle w:val="TableGrid"/>
        <w:tblW w:w="0" w:type="auto"/>
        <w:tblLook w:val="04A0" w:firstRow="1" w:lastRow="0" w:firstColumn="1" w:lastColumn="0" w:noHBand="0" w:noVBand="1"/>
      </w:tblPr>
      <w:tblGrid>
        <w:gridCol w:w="2263"/>
        <w:gridCol w:w="1039"/>
      </w:tblGrid>
      <w:tr w:rsidR="00A934DC" w:rsidRPr="00CC62FC" w14:paraId="2ABCE806" w14:textId="77777777" w:rsidTr="00663BBC">
        <w:tc>
          <w:tcPr>
            <w:tcW w:w="2263" w:type="dxa"/>
          </w:tcPr>
          <w:p w14:paraId="6E61F6A8" w14:textId="77777777" w:rsidR="00A934DC" w:rsidRPr="00CC62FC" w:rsidRDefault="00A934DC" w:rsidP="00663BBC">
            <w:pPr>
              <w:rPr>
                <w:rFonts w:cs="Arial"/>
                <w:szCs w:val="24"/>
              </w:rPr>
            </w:pPr>
            <w:r w:rsidRPr="00CC62FC">
              <w:rPr>
                <w:rFonts w:cs="Arial"/>
                <w:szCs w:val="24"/>
              </w:rPr>
              <w:t>Pronoun</w:t>
            </w:r>
          </w:p>
        </w:tc>
        <w:tc>
          <w:tcPr>
            <w:tcW w:w="1003" w:type="dxa"/>
          </w:tcPr>
          <w:p w14:paraId="3F408F0E" w14:textId="77777777" w:rsidR="00A934DC" w:rsidRPr="00CC62FC" w:rsidRDefault="00A934DC" w:rsidP="00663BBC">
            <w:pPr>
              <w:rPr>
                <w:rFonts w:cs="Arial"/>
                <w:szCs w:val="24"/>
              </w:rPr>
            </w:pPr>
            <w:r w:rsidRPr="00CC62FC">
              <w:rPr>
                <w:rFonts w:cs="Arial"/>
                <w:szCs w:val="24"/>
              </w:rPr>
              <w:t>Number</w:t>
            </w:r>
          </w:p>
        </w:tc>
      </w:tr>
      <w:tr w:rsidR="00A934DC" w:rsidRPr="00CC62FC" w14:paraId="3A2EA6E8" w14:textId="77777777" w:rsidTr="00663BBC">
        <w:tc>
          <w:tcPr>
            <w:tcW w:w="2263" w:type="dxa"/>
          </w:tcPr>
          <w:p w14:paraId="2C1E0326" w14:textId="77777777" w:rsidR="00A934DC" w:rsidRPr="00CC62FC" w:rsidRDefault="00A934DC" w:rsidP="00663BBC">
            <w:pPr>
              <w:rPr>
                <w:rFonts w:cs="Arial"/>
                <w:szCs w:val="24"/>
              </w:rPr>
            </w:pPr>
            <w:r w:rsidRPr="00CC62FC">
              <w:rPr>
                <w:rFonts w:cs="Arial"/>
                <w:szCs w:val="24"/>
              </w:rPr>
              <w:t>She/her</w:t>
            </w:r>
          </w:p>
        </w:tc>
        <w:tc>
          <w:tcPr>
            <w:tcW w:w="1003" w:type="dxa"/>
          </w:tcPr>
          <w:p w14:paraId="166BA1E6" w14:textId="77777777" w:rsidR="00A934DC" w:rsidRPr="00CC62FC" w:rsidRDefault="00A934DC" w:rsidP="00663BBC">
            <w:pPr>
              <w:rPr>
                <w:rFonts w:cs="Arial"/>
                <w:szCs w:val="24"/>
              </w:rPr>
            </w:pPr>
            <w:r w:rsidRPr="00CC62FC">
              <w:rPr>
                <w:rFonts w:cs="Arial"/>
                <w:szCs w:val="24"/>
              </w:rPr>
              <w:t>9</w:t>
            </w:r>
            <w:r w:rsidRPr="00CC62FC">
              <w:rPr>
                <w:rStyle w:val="FootnoteReference"/>
                <w:rFonts w:cs="Arial"/>
                <w:szCs w:val="24"/>
              </w:rPr>
              <w:footnoteReference w:id="15"/>
            </w:r>
          </w:p>
        </w:tc>
      </w:tr>
      <w:tr w:rsidR="00A934DC" w:rsidRPr="00CC62FC" w14:paraId="197C10B8" w14:textId="77777777" w:rsidTr="00663BBC">
        <w:tc>
          <w:tcPr>
            <w:tcW w:w="2263" w:type="dxa"/>
          </w:tcPr>
          <w:p w14:paraId="2AC5EE85" w14:textId="77777777" w:rsidR="00A934DC" w:rsidRPr="00CC62FC" w:rsidRDefault="00A934DC" w:rsidP="00663BBC">
            <w:pPr>
              <w:rPr>
                <w:rFonts w:cs="Arial"/>
                <w:szCs w:val="24"/>
              </w:rPr>
            </w:pPr>
            <w:r w:rsidRPr="00CC62FC">
              <w:rPr>
                <w:rFonts w:cs="Arial"/>
                <w:szCs w:val="24"/>
              </w:rPr>
              <w:t>Him/his</w:t>
            </w:r>
          </w:p>
        </w:tc>
        <w:tc>
          <w:tcPr>
            <w:tcW w:w="1003" w:type="dxa"/>
          </w:tcPr>
          <w:p w14:paraId="065C2ECD" w14:textId="77777777" w:rsidR="00A934DC" w:rsidRPr="00CC62FC" w:rsidRDefault="00A934DC" w:rsidP="00663BBC">
            <w:pPr>
              <w:rPr>
                <w:rFonts w:cs="Arial"/>
                <w:szCs w:val="24"/>
              </w:rPr>
            </w:pPr>
            <w:r w:rsidRPr="00CC62FC">
              <w:rPr>
                <w:rFonts w:cs="Arial"/>
                <w:szCs w:val="24"/>
              </w:rPr>
              <w:t>5</w:t>
            </w:r>
          </w:p>
        </w:tc>
      </w:tr>
      <w:tr w:rsidR="00A934DC" w:rsidRPr="00CC62FC" w14:paraId="38D8AEB6" w14:textId="77777777" w:rsidTr="00663BBC">
        <w:tc>
          <w:tcPr>
            <w:tcW w:w="2263" w:type="dxa"/>
          </w:tcPr>
          <w:p w14:paraId="479A16B2" w14:textId="77777777" w:rsidR="00A934DC" w:rsidRPr="00CC62FC" w:rsidRDefault="00A934DC" w:rsidP="00663BBC">
            <w:pPr>
              <w:rPr>
                <w:rFonts w:cs="Arial"/>
                <w:szCs w:val="24"/>
              </w:rPr>
            </w:pPr>
            <w:r w:rsidRPr="00CC62FC">
              <w:rPr>
                <w:rFonts w:cs="Arial"/>
                <w:szCs w:val="24"/>
              </w:rPr>
              <w:t>They/them/their</w:t>
            </w:r>
          </w:p>
        </w:tc>
        <w:tc>
          <w:tcPr>
            <w:tcW w:w="1003" w:type="dxa"/>
          </w:tcPr>
          <w:p w14:paraId="7D6578D0" w14:textId="77777777" w:rsidR="00A934DC" w:rsidRPr="00CC62FC" w:rsidRDefault="00A934DC" w:rsidP="00663BBC">
            <w:pPr>
              <w:rPr>
                <w:rFonts w:cs="Arial"/>
                <w:szCs w:val="24"/>
              </w:rPr>
            </w:pPr>
            <w:r w:rsidRPr="00CC62FC">
              <w:rPr>
                <w:rFonts w:cs="Arial"/>
                <w:szCs w:val="24"/>
              </w:rPr>
              <w:t>2</w:t>
            </w:r>
          </w:p>
        </w:tc>
      </w:tr>
      <w:tr w:rsidR="00A934DC" w:rsidRPr="00CC62FC" w14:paraId="13AEF963" w14:textId="77777777" w:rsidTr="00663BBC">
        <w:tc>
          <w:tcPr>
            <w:tcW w:w="2263" w:type="dxa"/>
          </w:tcPr>
          <w:p w14:paraId="6BB34C5D" w14:textId="77777777" w:rsidR="00A934DC" w:rsidRPr="00CC62FC" w:rsidRDefault="00A934DC" w:rsidP="00663BBC">
            <w:pPr>
              <w:rPr>
                <w:rFonts w:cs="Arial"/>
                <w:szCs w:val="24"/>
              </w:rPr>
            </w:pPr>
            <w:r w:rsidRPr="00CC62FC">
              <w:rPr>
                <w:rFonts w:cs="Arial"/>
                <w:szCs w:val="24"/>
              </w:rPr>
              <w:t>Multiple preferences</w:t>
            </w:r>
          </w:p>
        </w:tc>
        <w:tc>
          <w:tcPr>
            <w:tcW w:w="1003" w:type="dxa"/>
          </w:tcPr>
          <w:p w14:paraId="58857A3A" w14:textId="77777777" w:rsidR="00A934DC" w:rsidRPr="00CC62FC" w:rsidRDefault="00A934DC" w:rsidP="00663BBC">
            <w:pPr>
              <w:rPr>
                <w:rFonts w:cs="Arial"/>
                <w:szCs w:val="24"/>
              </w:rPr>
            </w:pPr>
            <w:r w:rsidRPr="00CC62FC">
              <w:rPr>
                <w:rFonts w:cs="Arial"/>
                <w:szCs w:val="24"/>
              </w:rPr>
              <w:t>1</w:t>
            </w:r>
          </w:p>
        </w:tc>
      </w:tr>
      <w:tr w:rsidR="003D0518" w:rsidRPr="00CC62FC" w14:paraId="4A48F071" w14:textId="77777777" w:rsidTr="00663BBC">
        <w:tc>
          <w:tcPr>
            <w:tcW w:w="2263" w:type="dxa"/>
          </w:tcPr>
          <w:p w14:paraId="75B1E49F" w14:textId="07627263" w:rsidR="003D0518" w:rsidRPr="00CC62FC" w:rsidRDefault="003D0518" w:rsidP="00663BBC">
            <w:pPr>
              <w:rPr>
                <w:rFonts w:cs="Arial"/>
                <w:szCs w:val="24"/>
              </w:rPr>
            </w:pPr>
            <w:r w:rsidRPr="00CC62FC">
              <w:rPr>
                <w:rFonts w:cs="Arial"/>
                <w:szCs w:val="24"/>
              </w:rPr>
              <w:t>Not stated</w:t>
            </w:r>
            <w:r w:rsidRPr="00CC62FC">
              <w:rPr>
                <w:rStyle w:val="FootnoteReference"/>
                <w:rFonts w:cs="Arial"/>
                <w:szCs w:val="24"/>
              </w:rPr>
              <w:footnoteReference w:id="16"/>
            </w:r>
          </w:p>
        </w:tc>
        <w:tc>
          <w:tcPr>
            <w:tcW w:w="1003" w:type="dxa"/>
          </w:tcPr>
          <w:p w14:paraId="449CB141" w14:textId="1C47BE76" w:rsidR="003D0518" w:rsidRPr="00CC62FC" w:rsidRDefault="003D0518" w:rsidP="00663BBC">
            <w:pPr>
              <w:rPr>
                <w:rFonts w:cs="Arial"/>
                <w:szCs w:val="24"/>
              </w:rPr>
            </w:pPr>
            <w:r w:rsidRPr="00CC62FC">
              <w:rPr>
                <w:rFonts w:cs="Arial"/>
                <w:szCs w:val="24"/>
              </w:rPr>
              <w:t>1</w:t>
            </w:r>
          </w:p>
        </w:tc>
      </w:tr>
    </w:tbl>
    <w:p w14:paraId="3AA1F72C" w14:textId="77777777" w:rsidR="00A934DC" w:rsidRPr="00CC62FC" w:rsidRDefault="00A934DC" w:rsidP="00A934DC">
      <w:pPr>
        <w:rPr>
          <w:rFonts w:cs="Arial"/>
          <w:szCs w:val="24"/>
        </w:rPr>
      </w:pPr>
    </w:p>
    <w:p w14:paraId="3A7FA134" w14:textId="01A3CFC8" w:rsidR="00A934DC" w:rsidRPr="00CC62FC" w:rsidRDefault="00A934DC" w:rsidP="003D0518">
      <w:pPr>
        <w:rPr>
          <w:rFonts w:cs="Arial"/>
          <w:szCs w:val="24"/>
        </w:rPr>
      </w:pPr>
      <w:r w:rsidRPr="00CC62FC">
        <w:rPr>
          <w:rFonts w:cs="Arial"/>
          <w:szCs w:val="24"/>
        </w:rPr>
        <w:t xml:space="preserve">Table 6: Gender </w:t>
      </w:r>
      <w:r w:rsidR="003D0518" w:rsidRPr="00CC62FC">
        <w:rPr>
          <w:rFonts w:cs="Arial"/>
          <w:szCs w:val="24"/>
        </w:rPr>
        <w:t>identity</w:t>
      </w:r>
    </w:p>
    <w:p w14:paraId="4D581823" w14:textId="77777777" w:rsidR="00A934DC" w:rsidRPr="00CC62FC" w:rsidRDefault="00A934DC" w:rsidP="00A934DC">
      <w:pPr>
        <w:rPr>
          <w:rFonts w:cs="Arial"/>
          <w:szCs w:val="24"/>
        </w:rPr>
      </w:pPr>
    </w:p>
    <w:tbl>
      <w:tblPr>
        <w:tblStyle w:val="TableGrid"/>
        <w:tblW w:w="0" w:type="auto"/>
        <w:tblLook w:val="04A0" w:firstRow="1" w:lastRow="0" w:firstColumn="1" w:lastColumn="0" w:noHBand="0" w:noVBand="1"/>
      </w:tblPr>
      <w:tblGrid>
        <w:gridCol w:w="4106"/>
        <w:gridCol w:w="1039"/>
      </w:tblGrid>
      <w:tr w:rsidR="00A934DC" w:rsidRPr="00CC62FC" w14:paraId="1E38E24D" w14:textId="77777777" w:rsidTr="00663BBC">
        <w:tc>
          <w:tcPr>
            <w:tcW w:w="4106" w:type="dxa"/>
          </w:tcPr>
          <w:p w14:paraId="47A2E529" w14:textId="77777777" w:rsidR="00A934DC" w:rsidRPr="00CC62FC" w:rsidRDefault="00A934DC" w:rsidP="00663BBC">
            <w:pPr>
              <w:rPr>
                <w:rFonts w:cs="Arial"/>
                <w:szCs w:val="24"/>
              </w:rPr>
            </w:pPr>
            <w:r w:rsidRPr="00CC62FC">
              <w:rPr>
                <w:rFonts w:cs="Arial"/>
                <w:szCs w:val="24"/>
              </w:rPr>
              <w:t>Gender identity</w:t>
            </w:r>
          </w:p>
        </w:tc>
        <w:tc>
          <w:tcPr>
            <w:tcW w:w="1003" w:type="dxa"/>
          </w:tcPr>
          <w:p w14:paraId="4F3E25B1" w14:textId="77777777" w:rsidR="00A934DC" w:rsidRPr="00CC62FC" w:rsidRDefault="00A934DC" w:rsidP="00663BBC">
            <w:pPr>
              <w:rPr>
                <w:rFonts w:cs="Arial"/>
                <w:szCs w:val="24"/>
              </w:rPr>
            </w:pPr>
            <w:r w:rsidRPr="00CC62FC">
              <w:rPr>
                <w:rFonts w:cs="Arial"/>
                <w:szCs w:val="24"/>
              </w:rPr>
              <w:t>Number</w:t>
            </w:r>
          </w:p>
        </w:tc>
      </w:tr>
      <w:tr w:rsidR="00A934DC" w:rsidRPr="00CC62FC" w14:paraId="549D2FBC" w14:textId="77777777" w:rsidTr="00663BBC">
        <w:tc>
          <w:tcPr>
            <w:tcW w:w="4106" w:type="dxa"/>
          </w:tcPr>
          <w:p w14:paraId="074E6623" w14:textId="77777777" w:rsidR="00A934DC" w:rsidRPr="00CC62FC" w:rsidRDefault="00A934DC" w:rsidP="00663BBC">
            <w:pPr>
              <w:rPr>
                <w:rFonts w:cs="Arial"/>
                <w:szCs w:val="24"/>
              </w:rPr>
            </w:pPr>
            <w:proofErr w:type="spellStart"/>
            <w:r w:rsidRPr="00CC62FC">
              <w:rPr>
                <w:rFonts w:cs="Arial"/>
                <w:szCs w:val="24"/>
              </w:rPr>
              <w:t>Cis</w:t>
            </w:r>
            <w:proofErr w:type="spellEnd"/>
          </w:p>
        </w:tc>
        <w:tc>
          <w:tcPr>
            <w:tcW w:w="1003" w:type="dxa"/>
          </w:tcPr>
          <w:p w14:paraId="65B10F19" w14:textId="77777777" w:rsidR="00A934DC" w:rsidRPr="00CC62FC" w:rsidRDefault="00A934DC" w:rsidP="00663BBC">
            <w:pPr>
              <w:rPr>
                <w:rFonts w:cs="Arial"/>
                <w:szCs w:val="24"/>
              </w:rPr>
            </w:pPr>
            <w:r w:rsidRPr="00CC62FC">
              <w:rPr>
                <w:rFonts w:cs="Arial"/>
                <w:szCs w:val="24"/>
              </w:rPr>
              <w:t>6</w:t>
            </w:r>
          </w:p>
        </w:tc>
      </w:tr>
      <w:tr w:rsidR="00A934DC" w:rsidRPr="00CC62FC" w14:paraId="3A909822" w14:textId="77777777" w:rsidTr="00663BBC">
        <w:tc>
          <w:tcPr>
            <w:tcW w:w="4106" w:type="dxa"/>
          </w:tcPr>
          <w:p w14:paraId="2D3D3097" w14:textId="77777777" w:rsidR="00A934DC" w:rsidRPr="00CC62FC" w:rsidRDefault="00A934DC" w:rsidP="00663BBC">
            <w:pPr>
              <w:rPr>
                <w:rFonts w:cs="Arial"/>
                <w:szCs w:val="24"/>
              </w:rPr>
            </w:pPr>
            <w:r w:rsidRPr="00CC62FC">
              <w:rPr>
                <w:rFonts w:cs="Arial"/>
                <w:szCs w:val="24"/>
              </w:rPr>
              <w:t>Trans</w:t>
            </w:r>
          </w:p>
        </w:tc>
        <w:tc>
          <w:tcPr>
            <w:tcW w:w="1003" w:type="dxa"/>
          </w:tcPr>
          <w:p w14:paraId="1F7DDCE9" w14:textId="77777777" w:rsidR="00A934DC" w:rsidRPr="00CC62FC" w:rsidRDefault="00A934DC" w:rsidP="00663BBC">
            <w:pPr>
              <w:rPr>
                <w:rFonts w:cs="Arial"/>
                <w:szCs w:val="24"/>
              </w:rPr>
            </w:pPr>
            <w:r w:rsidRPr="00CC62FC">
              <w:rPr>
                <w:rFonts w:cs="Arial"/>
                <w:szCs w:val="24"/>
              </w:rPr>
              <w:t>5</w:t>
            </w:r>
          </w:p>
        </w:tc>
      </w:tr>
      <w:tr w:rsidR="00A934DC" w:rsidRPr="00CC62FC" w14:paraId="1B33BC20" w14:textId="77777777" w:rsidTr="00663BBC">
        <w:tc>
          <w:tcPr>
            <w:tcW w:w="4106" w:type="dxa"/>
          </w:tcPr>
          <w:p w14:paraId="582920C0" w14:textId="4D90C598" w:rsidR="00A934DC" w:rsidRPr="00CC62FC" w:rsidRDefault="00A934DC" w:rsidP="002364A7">
            <w:pPr>
              <w:rPr>
                <w:rFonts w:cs="Arial"/>
                <w:szCs w:val="24"/>
              </w:rPr>
            </w:pPr>
            <w:r w:rsidRPr="00CC62FC">
              <w:rPr>
                <w:rFonts w:cs="Arial"/>
                <w:szCs w:val="24"/>
              </w:rPr>
              <w:t xml:space="preserve">Non-binary </w:t>
            </w:r>
            <w:r w:rsidR="002364A7" w:rsidRPr="00CC62FC">
              <w:rPr>
                <w:rFonts w:cs="Arial"/>
                <w:szCs w:val="24"/>
              </w:rPr>
              <w:t>(</w:t>
            </w:r>
            <w:r w:rsidRPr="00CC62FC">
              <w:rPr>
                <w:rFonts w:cs="Arial"/>
                <w:szCs w:val="24"/>
              </w:rPr>
              <w:t>did not describe as trans</w:t>
            </w:r>
            <w:r w:rsidR="002364A7" w:rsidRPr="00CC62FC">
              <w:rPr>
                <w:rFonts w:cs="Arial"/>
                <w:szCs w:val="24"/>
              </w:rPr>
              <w:t>)</w:t>
            </w:r>
          </w:p>
        </w:tc>
        <w:tc>
          <w:tcPr>
            <w:tcW w:w="1003" w:type="dxa"/>
          </w:tcPr>
          <w:p w14:paraId="3CDA3BC5" w14:textId="77777777" w:rsidR="00A934DC" w:rsidRPr="00CC62FC" w:rsidRDefault="00A934DC" w:rsidP="00663BBC">
            <w:pPr>
              <w:rPr>
                <w:rFonts w:cs="Arial"/>
                <w:szCs w:val="24"/>
              </w:rPr>
            </w:pPr>
            <w:r w:rsidRPr="00CC62FC">
              <w:rPr>
                <w:rFonts w:cs="Arial"/>
                <w:szCs w:val="24"/>
              </w:rPr>
              <w:t>1</w:t>
            </w:r>
          </w:p>
        </w:tc>
      </w:tr>
      <w:tr w:rsidR="00A934DC" w:rsidRPr="00CC62FC" w14:paraId="326D1228" w14:textId="77777777" w:rsidTr="00663BBC">
        <w:tc>
          <w:tcPr>
            <w:tcW w:w="4106" w:type="dxa"/>
          </w:tcPr>
          <w:p w14:paraId="2AC4DD03" w14:textId="77777777" w:rsidR="00A934DC" w:rsidRPr="00CC62FC" w:rsidRDefault="00A934DC" w:rsidP="00663BBC">
            <w:pPr>
              <w:rPr>
                <w:rFonts w:cs="Arial"/>
                <w:szCs w:val="24"/>
              </w:rPr>
            </w:pPr>
            <w:r w:rsidRPr="00CC62FC">
              <w:rPr>
                <w:rFonts w:cs="Arial"/>
                <w:szCs w:val="24"/>
              </w:rPr>
              <w:t>Not stated</w:t>
            </w:r>
          </w:p>
        </w:tc>
        <w:tc>
          <w:tcPr>
            <w:tcW w:w="1003" w:type="dxa"/>
          </w:tcPr>
          <w:p w14:paraId="5D5F7735" w14:textId="1E8A61DF" w:rsidR="00A934DC" w:rsidRPr="00CC62FC" w:rsidRDefault="0019098A" w:rsidP="00663BBC">
            <w:pPr>
              <w:rPr>
                <w:rFonts w:cs="Arial"/>
                <w:szCs w:val="24"/>
              </w:rPr>
            </w:pPr>
            <w:r>
              <w:rPr>
                <w:rFonts w:cs="Arial"/>
                <w:szCs w:val="24"/>
              </w:rPr>
              <w:t>6</w:t>
            </w:r>
          </w:p>
        </w:tc>
      </w:tr>
    </w:tbl>
    <w:p w14:paraId="1D5E6392" w14:textId="77777777" w:rsidR="00A934DC" w:rsidRPr="00CC62FC" w:rsidRDefault="00A934DC" w:rsidP="00A934DC">
      <w:pPr>
        <w:rPr>
          <w:rFonts w:cs="Arial"/>
          <w:szCs w:val="24"/>
        </w:rPr>
      </w:pPr>
    </w:p>
    <w:p w14:paraId="0715BF38" w14:textId="1460B5A5" w:rsidR="00A934DC" w:rsidRPr="00CC62FC" w:rsidRDefault="00DE1756" w:rsidP="00A934DC">
      <w:pPr>
        <w:rPr>
          <w:rFonts w:cs="Arial"/>
          <w:szCs w:val="24"/>
        </w:rPr>
      </w:pPr>
      <w:r w:rsidRPr="00CC62FC">
        <w:rPr>
          <w:rFonts w:cs="Arial"/>
          <w:szCs w:val="24"/>
        </w:rPr>
        <w:t>Table 8</w:t>
      </w:r>
      <w:r w:rsidR="00A934DC" w:rsidRPr="00CC62FC">
        <w:rPr>
          <w:rFonts w:cs="Arial"/>
          <w:szCs w:val="24"/>
        </w:rPr>
        <w:t xml:space="preserve">: Important matters other than curriculum for </w:t>
      </w:r>
      <w:proofErr w:type="gramStart"/>
      <w:r w:rsidR="00A934DC" w:rsidRPr="00CC62FC">
        <w:rPr>
          <w:rFonts w:cs="Arial"/>
          <w:szCs w:val="24"/>
        </w:rPr>
        <w:t>trans</w:t>
      </w:r>
      <w:proofErr w:type="gramEnd"/>
      <w:r w:rsidR="00A934DC" w:rsidRPr="00CC62FC">
        <w:rPr>
          <w:rFonts w:cs="Arial"/>
          <w:szCs w:val="24"/>
        </w:rPr>
        <w:t xml:space="preserve"> and non-binary inclusion in higher education, per gender identity of respondents</w:t>
      </w:r>
    </w:p>
    <w:p w14:paraId="685569A9" w14:textId="77777777" w:rsidR="00A934DC" w:rsidRPr="00CC62FC" w:rsidRDefault="00A934DC" w:rsidP="00A934DC">
      <w:pPr>
        <w:rPr>
          <w:rFonts w:cs="Arial"/>
          <w:szCs w:val="24"/>
        </w:rPr>
      </w:pPr>
    </w:p>
    <w:tbl>
      <w:tblPr>
        <w:tblStyle w:val="TableGrid"/>
        <w:tblW w:w="0" w:type="auto"/>
        <w:tblLayout w:type="fixed"/>
        <w:tblLook w:val="04A0" w:firstRow="1" w:lastRow="0" w:firstColumn="1" w:lastColumn="0" w:noHBand="0" w:noVBand="1"/>
      </w:tblPr>
      <w:tblGrid>
        <w:gridCol w:w="4475"/>
        <w:gridCol w:w="931"/>
        <w:gridCol w:w="1252"/>
        <w:gridCol w:w="1275"/>
        <w:gridCol w:w="1083"/>
      </w:tblGrid>
      <w:tr w:rsidR="00A934DC" w:rsidRPr="00CC62FC" w14:paraId="37E76AB8" w14:textId="77777777" w:rsidTr="00663BBC">
        <w:tc>
          <w:tcPr>
            <w:tcW w:w="4475" w:type="dxa"/>
            <w:vMerge w:val="restart"/>
          </w:tcPr>
          <w:p w14:paraId="2FC35994" w14:textId="77777777" w:rsidR="00A934DC" w:rsidRPr="00CC62FC" w:rsidRDefault="00A934DC" w:rsidP="00663BBC">
            <w:pPr>
              <w:rPr>
                <w:rFonts w:cs="Arial"/>
                <w:szCs w:val="24"/>
              </w:rPr>
            </w:pPr>
            <w:r w:rsidRPr="00CC62FC">
              <w:rPr>
                <w:rFonts w:cs="Arial"/>
                <w:szCs w:val="24"/>
              </w:rPr>
              <w:t>Topic</w:t>
            </w:r>
          </w:p>
        </w:tc>
        <w:tc>
          <w:tcPr>
            <w:tcW w:w="3458" w:type="dxa"/>
            <w:gridSpan w:val="3"/>
          </w:tcPr>
          <w:p w14:paraId="74504CCB" w14:textId="77777777" w:rsidR="00A934DC" w:rsidRPr="00CC62FC" w:rsidRDefault="00A934DC" w:rsidP="00663BBC">
            <w:pPr>
              <w:rPr>
                <w:rFonts w:cs="Arial"/>
                <w:szCs w:val="24"/>
              </w:rPr>
            </w:pPr>
            <w:r w:rsidRPr="00CC62FC">
              <w:rPr>
                <w:rFonts w:cs="Arial"/>
                <w:szCs w:val="24"/>
              </w:rPr>
              <w:t>Gender identity</w:t>
            </w:r>
          </w:p>
        </w:tc>
        <w:tc>
          <w:tcPr>
            <w:tcW w:w="1083" w:type="dxa"/>
            <w:vMerge w:val="restart"/>
          </w:tcPr>
          <w:p w14:paraId="479EF345" w14:textId="77777777" w:rsidR="00A934DC" w:rsidRPr="00CC62FC" w:rsidRDefault="00A934DC" w:rsidP="00663BBC">
            <w:pPr>
              <w:rPr>
                <w:rFonts w:cs="Arial"/>
                <w:szCs w:val="24"/>
              </w:rPr>
            </w:pPr>
            <w:r w:rsidRPr="00CC62FC">
              <w:rPr>
                <w:rFonts w:cs="Arial"/>
                <w:szCs w:val="24"/>
              </w:rPr>
              <w:t>Number</w:t>
            </w:r>
          </w:p>
        </w:tc>
      </w:tr>
      <w:tr w:rsidR="00A934DC" w:rsidRPr="00CC62FC" w14:paraId="401E22B8" w14:textId="77777777" w:rsidTr="00663BBC">
        <w:tc>
          <w:tcPr>
            <w:tcW w:w="4475" w:type="dxa"/>
            <w:vMerge/>
          </w:tcPr>
          <w:p w14:paraId="43F5E7B7" w14:textId="77777777" w:rsidR="00A934DC" w:rsidRPr="00CC62FC" w:rsidRDefault="00A934DC" w:rsidP="00663BBC">
            <w:pPr>
              <w:rPr>
                <w:rFonts w:cs="Arial"/>
                <w:szCs w:val="24"/>
              </w:rPr>
            </w:pPr>
          </w:p>
        </w:tc>
        <w:tc>
          <w:tcPr>
            <w:tcW w:w="931" w:type="dxa"/>
          </w:tcPr>
          <w:p w14:paraId="4BC72D46" w14:textId="77777777" w:rsidR="00A934DC" w:rsidRPr="00CC62FC" w:rsidRDefault="00A934DC" w:rsidP="00663BBC">
            <w:pPr>
              <w:rPr>
                <w:rFonts w:cs="Arial"/>
                <w:szCs w:val="24"/>
              </w:rPr>
            </w:pPr>
            <w:proofErr w:type="spellStart"/>
            <w:r w:rsidRPr="00CC62FC">
              <w:rPr>
                <w:rFonts w:cs="Arial"/>
                <w:szCs w:val="24"/>
              </w:rPr>
              <w:t>Cis</w:t>
            </w:r>
            <w:proofErr w:type="spellEnd"/>
          </w:p>
        </w:tc>
        <w:tc>
          <w:tcPr>
            <w:tcW w:w="1252" w:type="dxa"/>
          </w:tcPr>
          <w:p w14:paraId="3320AF72" w14:textId="77777777" w:rsidR="00A934DC" w:rsidRPr="00CC62FC" w:rsidRDefault="00A934DC" w:rsidP="00663BBC">
            <w:pPr>
              <w:rPr>
                <w:rFonts w:cs="Arial"/>
                <w:szCs w:val="24"/>
              </w:rPr>
            </w:pPr>
            <w:r w:rsidRPr="00CC62FC">
              <w:rPr>
                <w:rFonts w:cs="Arial"/>
                <w:szCs w:val="24"/>
              </w:rPr>
              <w:t>Trans/NB</w:t>
            </w:r>
          </w:p>
        </w:tc>
        <w:tc>
          <w:tcPr>
            <w:tcW w:w="1275" w:type="dxa"/>
          </w:tcPr>
          <w:p w14:paraId="07F77A2A" w14:textId="77777777" w:rsidR="00A934DC" w:rsidRPr="00CC62FC" w:rsidRDefault="00A934DC" w:rsidP="00663BBC">
            <w:pPr>
              <w:rPr>
                <w:rFonts w:cs="Arial"/>
                <w:szCs w:val="24"/>
              </w:rPr>
            </w:pPr>
            <w:r w:rsidRPr="00CC62FC">
              <w:rPr>
                <w:rFonts w:cs="Arial"/>
                <w:szCs w:val="24"/>
              </w:rPr>
              <w:t>Not given</w:t>
            </w:r>
          </w:p>
        </w:tc>
        <w:tc>
          <w:tcPr>
            <w:tcW w:w="1083" w:type="dxa"/>
            <w:vMerge/>
          </w:tcPr>
          <w:p w14:paraId="3C165741" w14:textId="77777777" w:rsidR="00A934DC" w:rsidRPr="00CC62FC" w:rsidRDefault="00A934DC" w:rsidP="00663BBC">
            <w:pPr>
              <w:rPr>
                <w:rFonts w:cs="Arial"/>
                <w:szCs w:val="24"/>
              </w:rPr>
            </w:pPr>
          </w:p>
        </w:tc>
      </w:tr>
      <w:tr w:rsidR="00A934DC" w:rsidRPr="00CC62FC" w14:paraId="039248CB" w14:textId="77777777" w:rsidTr="00663BBC">
        <w:tc>
          <w:tcPr>
            <w:tcW w:w="4475" w:type="dxa"/>
          </w:tcPr>
          <w:p w14:paraId="5F26B8F8" w14:textId="77777777" w:rsidR="00A934DC" w:rsidRPr="00CC62FC" w:rsidRDefault="00A934DC" w:rsidP="00663BBC">
            <w:pPr>
              <w:rPr>
                <w:rFonts w:cs="Arial"/>
                <w:szCs w:val="24"/>
              </w:rPr>
            </w:pPr>
            <w:r w:rsidRPr="00CC62FC">
              <w:rPr>
                <w:rFonts w:cs="Arial"/>
                <w:szCs w:val="24"/>
              </w:rPr>
              <w:t xml:space="preserve">Toilets </w:t>
            </w:r>
          </w:p>
        </w:tc>
        <w:tc>
          <w:tcPr>
            <w:tcW w:w="931" w:type="dxa"/>
          </w:tcPr>
          <w:p w14:paraId="6B92F0E9" w14:textId="77777777" w:rsidR="00A934DC" w:rsidRPr="00CC62FC" w:rsidRDefault="00A934DC" w:rsidP="00663BBC">
            <w:pPr>
              <w:rPr>
                <w:rFonts w:cs="Arial"/>
                <w:szCs w:val="24"/>
              </w:rPr>
            </w:pPr>
            <w:r w:rsidRPr="00CC62FC">
              <w:rPr>
                <w:rFonts w:cs="Arial"/>
                <w:szCs w:val="24"/>
              </w:rPr>
              <w:t>1</w:t>
            </w:r>
          </w:p>
        </w:tc>
        <w:tc>
          <w:tcPr>
            <w:tcW w:w="1252" w:type="dxa"/>
          </w:tcPr>
          <w:p w14:paraId="7F310D48" w14:textId="77777777" w:rsidR="00A934DC" w:rsidRPr="00CC62FC" w:rsidRDefault="00A934DC" w:rsidP="00663BBC">
            <w:pPr>
              <w:rPr>
                <w:rFonts w:cs="Arial"/>
                <w:szCs w:val="24"/>
              </w:rPr>
            </w:pPr>
            <w:r w:rsidRPr="00CC62FC">
              <w:rPr>
                <w:rFonts w:cs="Arial"/>
                <w:szCs w:val="24"/>
              </w:rPr>
              <w:t>3</w:t>
            </w:r>
          </w:p>
        </w:tc>
        <w:tc>
          <w:tcPr>
            <w:tcW w:w="1275" w:type="dxa"/>
          </w:tcPr>
          <w:p w14:paraId="17D78011" w14:textId="77777777" w:rsidR="00A934DC" w:rsidRPr="00CC62FC" w:rsidRDefault="00A934DC" w:rsidP="00663BBC">
            <w:pPr>
              <w:rPr>
                <w:rFonts w:cs="Arial"/>
                <w:szCs w:val="24"/>
              </w:rPr>
            </w:pPr>
            <w:r w:rsidRPr="00CC62FC">
              <w:rPr>
                <w:rFonts w:cs="Arial"/>
                <w:szCs w:val="24"/>
              </w:rPr>
              <w:t>2</w:t>
            </w:r>
          </w:p>
        </w:tc>
        <w:tc>
          <w:tcPr>
            <w:tcW w:w="1083" w:type="dxa"/>
          </w:tcPr>
          <w:p w14:paraId="4158B7DC" w14:textId="77777777" w:rsidR="00A934DC" w:rsidRPr="00CC62FC" w:rsidRDefault="00A934DC" w:rsidP="00663BBC">
            <w:pPr>
              <w:rPr>
                <w:rFonts w:cs="Arial"/>
                <w:szCs w:val="24"/>
              </w:rPr>
            </w:pPr>
            <w:r w:rsidRPr="00CC62FC">
              <w:rPr>
                <w:rFonts w:cs="Arial"/>
                <w:szCs w:val="24"/>
              </w:rPr>
              <w:t>6</w:t>
            </w:r>
          </w:p>
        </w:tc>
      </w:tr>
      <w:tr w:rsidR="00A934DC" w:rsidRPr="00CC62FC" w14:paraId="2D83EED8" w14:textId="77777777" w:rsidTr="00663BBC">
        <w:tc>
          <w:tcPr>
            <w:tcW w:w="4475" w:type="dxa"/>
          </w:tcPr>
          <w:p w14:paraId="1DFF4D5E" w14:textId="77777777" w:rsidR="00A934DC" w:rsidRPr="00CC62FC" w:rsidRDefault="00A934DC" w:rsidP="00663BBC">
            <w:pPr>
              <w:rPr>
                <w:rFonts w:cs="Arial"/>
                <w:szCs w:val="24"/>
              </w:rPr>
            </w:pPr>
            <w:r w:rsidRPr="00CC62FC">
              <w:rPr>
                <w:rFonts w:cs="Arial"/>
                <w:szCs w:val="24"/>
              </w:rPr>
              <w:t>Documentation and paperwork</w:t>
            </w:r>
          </w:p>
        </w:tc>
        <w:tc>
          <w:tcPr>
            <w:tcW w:w="931" w:type="dxa"/>
          </w:tcPr>
          <w:p w14:paraId="6647DCC6" w14:textId="77777777" w:rsidR="00A934DC" w:rsidRPr="00CC62FC" w:rsidRDefault="00A934DC" w:rsidP="00663BBC">
            <w:pPr>
              <w:rPr>
                <w:rFonts w:cs="Arial"/>
                <w:szCs w:val="24"/>
              </w:rPr>
            </w:pPr>
            <w:r w:rsidRPr="00CC62FC">
              <w:rPr>
                <w:rFonts w:cs="Arial"/>
                <w:szCs w:val="24"/>
              </w:rPr>
              <w:t>1</w:t>
            </w:r>
          </w:p>
        </w:tc>
        <w:tc>
          <w:tcPr>
            <w:tcW w:w="1252" w:type="dxa"/>
          </w:tcPr>
          <w:p w14:paraId="6DED78A9" w14:textId="77777777" w:rsidR="00A934DC" w:rsidRPr="00CC62FC" w:rsidRDefault="00A934DC" w:rsidP="00663BBC">
            <w:pPr>
              <w:rPr>
                <w:rFonts w:cs="Arial"/>
                <w:szCs w:val="24"/>
              </w:rPr>
            </w:pPr>
            <w:r w:rsidRPr="00CC62FC">
              <w:rPr>
                <w:rFonts w:cs="Arial"/>
                <w:szCs w:val="24"/>
              </w:rPr>
              <w:t>3</w:t>
            </w:r>
          </w:p>
        </w:tc>
        <w:tc>
          <w:tcPr>
            <w:tcW w:w="1275" w:type="dxa"/>
          </w:tcPr>
          <w:p w14:paraId="4A3AD857" w14:textId="77777777" w:rsidR="00A934DC" w:rsidRPr="00CC62FC" w:rsidRDefault="00A934DC" w:rsidP="00663BBC">
            <w:pPr>
              <w:rPr>
                <w:rFonts w:cs="Arial"/>
                <w:szCs w:val="24"/>
              </w:rPr>
            </w:pPr>
            <w:r w:rsidRPr="00CC62FC">
              <w:rPr>
                <w:rFonts w:cs="Arial"/>
                <w:szCs w:val="24"/>
              </w:rPr>
              <w:t>1</w:t>
            </w:r>
          </w:p>
        </w:tc>
        <w:tc>
          <w:tcPr>
            <w:tcW w:w="1083" w:type="dxa"/>
          </w:tcPr>
          <w:p w14:paraId="4E8A5FA4" w14:textId="77777777" w:rsidR="00A934DC" w:rsidRPr="00CC62FC" w:rsidRDefault="00A934DC" w:rsidP="00663BBC">
            <w:pPr>
              <w:rPr>
                <w:rFonts w:cs="Arial"/>
                <w:szCs w:val="24"/>
              </w:rPr>
            </w:pPr>
            <w:r w:rsidRPr="00CC62FC">
              <w:rPr>
                <w:rFonts w:cs="Arial"/>
                <w:szCs w:val="24"/>
              </w:rPr>
              <w:t>5</w:t>
            </w:r>
          </w:p>
        </w:tc>
      </w:tr>
      <w:tr w:rsidR="00A934DC" w:rsidRPr="00CC62FC" w14:paraId="63EFAF73" w14:textId="77777777" w:rsidTr="00663BBC">
        <w:tc>
          <w:tcPr>
            <w:tcW w:w="4475" w:type="dxa"/>
          </w:tcPr>
          <w:p w14:paraId="396EAD42" w14:textId="77777777" w:rsidR="00A934DC" w:rsidRPr="00CC62FC" w:rsidRDefault="00A934DC" w:rsidP="00663BBC">
            <w:pPr>
              <w:rPr>
                <w:rFonts w:cs="Arial"/>
                <w:szCs w:val="24"/>
              </w:rPr>
            </w:pPr>
            <w:r w:rsidRPr="00CC62FC">
              <w:rPr>
                <w:rFonts w:cs="Arial"/>
                <w:szCs w:val="24"/>
              </w:rPr>
              <w:t xml:space="preserve">Name changes </w:t>
            </w:r>
          </w:p>
        </w:tc>
        <w:tc>
          <w:tcPr>
            <w:tcW w:w="931" w:type="dxa"/>
          </w:tcPr>
          <w:p w14:paraId="65F9A02E" w14:textId="77777777" w:rsidR="00A934DC" w:rsidRPr="00CC62FC" w:rsidRDefault="00A934DC" w:rsidP="00663BBC">
            <w:pPr>
              <w:rPr>
                <w:rFonts w:cs="Arial"/>
                <w:szCs w:val="24"/>
              </w:rPr>
            </w:pPr>
            <w:r w:rsidRPr="00CC62FC">
              <w:rPr>
                <w:rFonts w:cs="Arial"/>
                <w:szCs w:val="24"/>
              </w:rPr>
              <w:t>1</w:t>
            </w:r>
          </w:p>
        </w:tc>
        <w:tc>
          <w:tcPr>
            <w:tcW w:w="1252" w:type="dxa"/>
          </w:tcPr>
          <w:p w14:paraId="3482F16F" w14:textId="77777777" w:rsidR="00A934DC" w:rsidRPr="00CC62FC" w:rsidRDefault="00A934DC" w:rsidP="00663BBC">
            <w:pPr>
              <w:rPr>
                <w:rFonts w:cs="Arial"/>
                <w:szCs w:val="24"/>
              </w:rPr>
            </w:pPr>
            <w:r w:rsidRPr="00CC62FC">
              <w:rPr>
                <w:rFonts w:cs="Arial"/>
                <w:szCs w:val="24"/>
              </w:rPr>
              <w:t>3</w:t>
            </w:r>
          </w:p>
        </w:tc>
        <w:tc>
          <w:tcPr>
            <w:tcW w:w="1275" w:type="dxa"/>
          </w:tcPr>
          <w:p w14:paraId="1E74F84F" w14:textId="77777777" w:rsidR="00A934DC" w:rsidRPr="00CC62FC" w:rsidRDefault="00A934DC" w:rsidP="00663BBC">
            <w:pPr>
              <w:rPr>
                <w:rFonts w:cs="Arial"/>
                <w:szCs w:val="24"/>
              </w:rPr>
            </w:pPr>
          </w:p>
        </w:tc>
        <w:tc>
          <w:tcPr>
            <w:tcW w:w="1083" w:type="dxa"/>
          </w:tcPr>
          <w:p w14:paraId="08669F08" w14:textId="77777777" w:rsidR="00A934DC" w:rsidRPr="00CC62FC" w:rsidRDefault="00A934DC" w:rsidP="00663BBC">
            <w:pPr>
              <w:rPr>
                <w:rFonts w:cs="Arial"/>
                <w:szCs w:val="24"/>
              </w:rPr>
            </w:pPr>
            <w:r w:rsidRPr="00CC62FC">
              <w:rPr>
                <w:rFonts w:cs="Arial"/>
                <w:szCs w:val="24"/>
              </w:rPr>
              <w:t>4</w:t>
            </w:r>
          </w:p>
        </w:tc>
      </w:tr>
      <w:tr w:rsidR="00A934DC" w:rsidRPr="00CC62FC" w14:paraId="263409A0" w14:textId="77777777" w:rsidTr="00663BBC">
        <w:tc>
          <w:tcPr>
            <w:tcW w:w="4475" w:type="dxa"/>
          </w:tcPr>
          <w:p w14:paraId="7D2ABBCB" w14:textId="77777777" w:rsidR="00A934DC" w:rsidRPr="00CC62FC" w:rsidRDefault="00A934DC" w:rsidP="00663BBC">
            <w:pPr>
              <w:rPr>
                <w:rFonts w:cs="Arial"/>
                <w:szCs w:val="24"/>
              </w:rPr>
            </w:pPr>
            <w:r w:rsidRPr="00CC62FC">
              <w:rPr>
                <w:rFonts w:cs="Arial"/>
                <w:szCs w:val="24"/>
              </w:rPr>
              <w:t>Data collection about gender</w:t>
            </w:r>
          </w:p>
        </w:tc>
        <w:tc>
          <w:tcPr>
            <w:tcW w:w="931" w:type="dxa"/>
          </w:tcPr>
          <w:p w14:paraId="6B7365F6" w14:textId="77777777" w:rsidR="00A934DC" w:rsidRPr="00CC62FC" w:rsidRDefault="00A934DC" w:rsidP="00663BBC">
            <w:pPr>
              <w:rPr>
                <w:rFonts w:cs="Arial"/>
                <w:szCs w:val="24"/>
              </w:rPr>
            </w:pPr>
          </w:p>
        </w:tc>
        <w:tc>
          <w:tcPr>
            <w:tcW w:w="1252" w:type="dxa"/>
          </w:tcPr>
          <w:p w14:paraId="451B7B17" w14:textId="77777777" w:rsidR="00A934DC" w:rsidRPr="00CC62FC" w:rsidRDefault="00A934DC" w:rsidP="00663BBC">
            <w:pPr>
              <w:rPr>
                <w:rFonts w:cs="Arial"/>
                <w:szCs w:val="24"/>
              </w:rPr>
            </w:pPr>
            <w:r w:rsidRPr="00CC62FC">
              <w:rPr>
                <w:rFonts w:cs="Arial"/>
                <w:szCs w:val="24"/>
              </w:rPr>
              <w:t>4</w:t>
            </w:r>
          </w:p>
        </w:tc>
        <w:tc>
          <w:tcPr>
            <w:tcW w:w="1275" w:type="dxa"/>
          </w:tcPr>
          <w:p w14:paraId="4A4DEA69" w14:textId="77777777" w:rsidR="00A934DC" w:rsidRPr="00CC62FC" w:rsidRDefault="00A934DC" w:rsidP="00663BBC">
            <w:pPr>
              <w:rPr>
                <w:rFonts w:cs="Arial"/>
                <w:szCs w:val="24"/>
              </w:rPr>
            </w:pPr>
          </w:p>
        </w:tc>
        <w:tc>
          <w:tcPr>
            <w:tcW w:w="1083" w:type="dxa"/>
          </w:tcPr>
          <w:p w14:paraId="2A269BCE" w14:textId="77777777" w:rsidR="00A934DC" w:rsidRPr="00CC62FC" w:rsidRDefault="00A934DC" w:rsidP="00663BBC">
            <w:pPr>
              <w:rPr>
                <w:rFonts w:cs="Arial"/>
                <w:szCs w:val="24"/>
              </w:rPr>
            </w:pPr>
            <w:r w:rsidRPr="00CC62FC">
              <w:rPr>
                <w:rFonts w:cs="Arial"/>
                <w:szCs w:val="24"/>
              </w:rPr>
              <w:t>4</w:t>
            </w:r>
          </w:p>
        </w:tc>
      </w:tr>
      <w:tr w:rsidR="00A934DC" w:rsidRPr="00CC62FC" w14:paraId="0620E7B3" w14:textId="77777777" w:rsidTr="00663BBC">
        <w:tc>
          <w:tcPr>
            <w:tcW w:w="4475" w:type="dxa"/>
          </w:tcPr>
          <w:p w14:paraId="35620628" w14:textId="77777777" w:rsidR="00A934DC" w:rsidRPr="00CC62FC" w:rsidRDefault="00A934DC" w:rsidP="00663BBC">
            <w:pPr>
              <w:rPr>
                <w:rFonts w:cs="Arial"/>
                <w:szCs w:val="24"/>
              </w:rPr>
            </w:pPr>
            <w:r w:rsidRPr="00CC62FC">
              <w:rPr>
                <w:rFonts w:cs="Arial"/>
                <w:szCs w:val="24"/>
              </w:rPr>
              <w:t>Language use</w:t>
            </w:r>
          </w:p>
        </w:tc>
        <w:tc>
          <w:tcPr>
            <w:tcW w:w="931" w:type="dxa"/>
          </w:tcPr>
          <w:p w14:paraId="0C930DDE" w14:textId="77777777" w:rsidR="00A934DC" w:rsidRPr="00CC62FC" w:rsidRDefault="00A934DC" w:rsidP="00663BBC">
            <w:pPr>
              <w:rPr>
                <w:rFonts w:cs="Arial"/>
                <w:szCs w:val="24"/>
              </w:rPr>
            </w:pPr>
            <w:r w:rsidRPr="00CC62FC">
              <w:rPr>
                <w:rFonts w:cs="Arial"/>
                <w:szCs w:val="24"/>
              </w:rPr>
              <w:t>2</w:t>
            </w:r>
          </w:p>
        </w:tc>
        <w:tc>
          <w:tcPr>
            <w:tcW w:w="1252" w:type="dxa"/>
          </w:tcPr>
          <w:p w14:paraId="0087AF41" w14:textId="77777777" w:rsidR="00A934DC" w:rsidRPr="00CC62FC" w:rsidRDefault="00A934DC" w:rsidP="00663BBC">
            <w:pPr>
              <w:rPr>
                <w:rFonts w:cs="Arial"/>
                <w:szCs w:val="24"/>
              </w:rPr>
            </w:pPr>
            <w:r w:rsidRPr="00CC62FC">
              <w:rPr>
                <w:rFonts w:cs="Arial"/>
                <w:szCs w:val="24"/>
              </w:rPr>
              <w:t>1</w:t>
            </w:r>
          </w:p>
        </w:tc>
        <w:tc>
          <w:tcPr>
            <w:tcW w:w="1275" w:type="dxa"/>
          </w:tcPr>
          <w:p w14:paraId="705B0D87" w14:textId="77777777" w:rsidR="00A934DC" w:rsidRPr="00CC62FC" w:rsidRDefault="00A934DC" w:rsidP="00663BBC">
            <w:pPr>
              <w:rPr>
                <w:rFonts w:cs="Arial"/>
                <w:szCs w:val="24"/>
              </w:rPr>
            </w:pPr>
            <w:r w:rsidRPr="00CC62FC">
              <w:rPr>
                <w:rFonts w:cs="Arial"/>
                <w:szCs w:val="24"/>
              </w:rPr>
              <w:t>1</w:t>
            </w:r>
          </w:p>
        </w:tc>
        <w:tc>
          <w:tcPr>
            <w:tcW w:w="1083" w:type="dxa"/>
          </w:tcPr>
          <w:p w14:paraId="7022E7BB" w14:textId="77777777" w:rsidR="00A934DC" w:rsidRPr="00CC62FC" w:rsidRDefault="00A934DC" w:rsidP="00663BBC">
            <w:pPr>
              <w:rPr>
                <w:rFonts w:cs="Arial"/>
                <w:szCs w:val="24"/>
              </w:rPr>
            </w:pPr>
            <w:r w:rsidRPr="00CC62FC">
              <w:rPr>
                <w:rFonts w:cs="Arial"/>
                <w:szCs w:val="24"/>
              </w:rPr>
              <w:t>4</w:t>
            </w:r>
          </w:p>
        </w:tc>
      </w:tr>
      <w:tr w:rsidR="00A934DC" w:rsidRPr="00CC62FC" w14:paraId="6855B41B" w14:textId="77777777" w:rsidTr="00663BBC">
        <w:tc>
          <w:tcPr>
            <w:tcW w:w="4475" w:type="dxa"/>
          </w:tcPr>
          <w:p w14:paraId="37656DC2" w14:textId="77777777" w:rsidR="00A934DC" w:rsidRPr="00CC62FC" w:rsidRDefault="00A934DC" w:rsidP="00663BBC">
            <w:pPr>
              <w:rPr>
                <w:rFonts w:cs="Arial"/>
                <w:szCs w:val="24"/>
              </w:rPr>
            </w:pPr>
            <w:r w:rsidRPr="00CC62FC">
              <w:rPr>
                <w:rFonts w:cs="Arial"/>
                <w:i/>
                <w:iCs/>
                <w:szCs w:val="24"/>
              </w:rPr>
              <w:t xml:space="preserve">     Genders other than male and female</w:t>
            </w:r>
          </w:p>
        </w:tc>
        <w:tc>
          <w:tcPr>
            <w:tcW w:w="931" w:type="dxa"/>
          </w:tcPr>
          <w:p w14:paraId="49307A00" w14:textId="77777777" w:rsidR="00A934DC" w:rsidRPr="00CC62FC" w:rsidRDefault="00A934DC" w:rsidP="00663BBC">
            <w:pPr>
              <w:rPr>
                <w:rFonts w:cs="Arial"/>
                <w:i/>
                <w:iCs/>
                <w:szCs w:val="24"/>
              </w:rPr>
            </w:pPr>
            <w:r w:rsidRPr="00CC62FC">
              <w:rPr>
                <w:rFonts w:cs="Arial"/>
                <w:i/>
                <w:iCs/>
                <w:szCs w:val="24"/>
              </w:rPr>
              <w:t>1</w:t>
            </w:r>
          </w:p>
        </w:tc>
        <w:tc>
          <w:tcPr>
            <w:tcW w:w="1252" w:type="dxa"/>
          </w:tcPr>
          <w:p w14:paraId="63C539A0" w14:textId="77777777" w:rsidR="00A934DC" w:rsidRPr="00CC62FC" w:rsidRDefault="00A934DC" w:rsidP="00663BBC">
            <w:pPr>
              <w:rPr>
                <w:rFonts w:cs="Arial"/>
                <w:i/>
                <w:iCs/>
                <w:szCs w:val="24"/>
              </w:rPr>
            </w:pPr>
          </w:p>
        </w:tc>
        <w:tc>
          <w:tcPr>
            <w:tcW w:w="1275" w:type="dxa"/>
          </w:tcPr>
          <w:p w14:paraId="204090FC" w14:textId="77777777" w:rsidR="00A934DC" w:rsidRPr="00CC62FC" w:rsidRDefault="00A934DC" w:rsidP="00663BBC">
            <w:pPr>
              <w:rPr>
                <w:rFonts w:cs="Arial"/>
                <w:i/>
                <w:iCs/>
                <w:szCs w:val="24"/>
              </w:rPr>
            </w:pPr>
            <w:r w:rsidRPr="00CC62FC">
              <w:rPr>
                <w:rFonts w:cs="Arial"/>
                <w:i/>
                <w:iCs/>
                <w:szCs w:val="24"/>
              </w:rPr>
              <w:t>1</w:t>
            </w:r>
          </w:p>
        </w:tc>
        <w:tc>
          <w:tcPr>
            <w:tcW w:w="1083" w:type="dxa"/>
          </w:tcPr>
          <w:p w14:paraId="6806CF90" w14:textId="77777777" w:rsidR="00A934DC" w:rsidRPr="00CC62FC" w:rsidRDefault="00A934DC" w:rsidP="00663BBC">
            <w:pPr>
              <w:rPr>
                <w:rFonts w:cs="Arial"/>
                <w:szCs w:val="24"/>
              </w:rPr>
            </w:pPr>
            <w:r w:rsidRPr="00CC62FC">
              <w:rPr>
                <w:rFonts w:cs="Arial"/>
                <w:i/>
                <w:iCs/>
                <w:szCs w:val="24"/>
              </w:rPr>
              <w:t>2</w:t>
            </w:r>
          </w:p>
        </w:tc>
      </w:tr>
      <w:tr w:rsidR="00A934DC" w:rsidRPr="00CC62FC" w14:paraId="4E2AC606" w14:textId="77777777" w:rsidTr="00663BBC">
        <w:tc>
          <w:tcPr>
            <w:tcW w:w="4475" w:type="dxa"/>
          </w:tcPr>
          <w:p w14:paraId="3AEB661F" w14:textId="77777777" w:rsidR="00A934DC" w:rsidRPr="00CC62FC" w:rsidRDefault="00A934DC" w:rsidP="00663BBC">
            <w:pPr>
              <w:rPr>
                <w:rFonts w:cs="Arial"/>
                <w:szCs w:val="24"/>
              </w:rPr>
            </w:pPr>
            <w:r w:rsidRPr="00CC62FC">
              <w:rPr>
                <w:rFonts w:cs="Arial"/>
                <w:i/>
                <w:iCs/>
                <w:szCs w:val="24"/>
              </w:rPr>
              <w:t xml:space="preserve">     Including </w:t>
            </w:r>
            <w:proofErr w:type="spellStart"/>
            <w:r w:rsidRPr="00CC62FC">
              <w:rPr>
                <w:rFonts w:cs="Arial"/>
                <w:i/>
                <w:iCs/>
                <w:szCs w:val="24"/>
              </w:rPr>
              <w:t>genderfluidity</w:t>
            </w:r>
            <w:proofErr w:type="spellEnd"/>
          </w:p>
        </w:tc>
        <w:tc>
          <w:tcPr>
            <w:tcW w:w="931" w:type="dxa"/>
          </w:tcPr>
          <w:p w14:paraId="73B985D4" w14:textId="77777777" w:rsidR="00A934DC" w:rsidRPr="00CC62FC" w:rsidRDefault="00A934DC" w:rsidP="00663BBC">
            <w:pPr>
              <w:rPr>
                <w:rFonts w:cs="Arial"/>
                <w:i/>
                <w:iCs/>
                <w:szCs w:val="24"/>
              </w:rPr>
            </w:pPr>
            <w:r w:rsidRPr="00CC62FC">
              <w:rPr>
                <w:rFonts w:cs="Arial"/>
                <w:i/>
                <w:iCs/>
                <w:szCs w:val="24"/>
              </w:rPr>
              <w:t>1</w:t>
            </w:r>
          </w:p>
        </w:tc>
        <w:tc>
          <w:tcPr>
            <w:tcW w:w="1252" w:type="dxa"/>
          </w:tcPr>
          <w:p w14:paraId="2F501CAA" w14:textId="77777777" w:rsidR="00A934DC" w:rsidRPr="00CC62FC" w:rsidRDefault="00A934DC" w:rsidP="00663BBC">
            <w:pPr>
              <w:rPr>
                <w:rFonts w:cs="Arial"/>
                <w:i/>
                <w:iCs/>
                <w:szCs w:val="24"/>
              </w:rPr>
            </w:pPr>
          </w:p>
        </w:tc>
        <w:tc>
          <w:tcPr>
            <w:tcW w:w="1275" w:type="dxa"/>
          </w:tcPr>
          <w:p w14:paraId="2F6868F8" w14:textId="77777777" w:rsidR="00A934DC" w:rsidRPr="00CC62FC" w:rsidRDefault="00A934DC" w:rsidP="00663BBC">
            <w:pPr>
              <w:rPr>
                <w:rFonts w:cs="Arial"/>
                <w:i/>
                <w:iCs/>
                <w:szCs w:val="24"/>
              </w:rPr>
            </w:pPr>
          </w:p>
        </w:tc>
        <w:tc>
          <w:tcPr>
            <w:tcW w:w="1083" w:type="dxa"/>
          </w:tcPr>
          <w:p w14:paraId="538FC94F" w14:textId="77777777" w:rsidR="00A934DC" w:rsidRPr="00CC62FC" w:rsidRDefault="00A934DC" w:rsidP="00663BBC">
            <w:pPr>
              <w:rPr>
                <w:rFonts w:cs="Arial"/>
                <w:szCs w:val="24"/>
              </w:rPr>
            </w:pPr>
            <w:r w:rsidRPr="00CC62FC">
              <w:rPr>
                <w:rFonts w:cs="Arial"/>
                <w:i/>
                <w:iCs/>
                <w:szCs w:val="24"/>
              </w:rPr>
              <w:t>1</w:t>
            </w:r>
          </w:p>
        </w:tc>
      </w:tr>
      <w:tr w:rsidR="00A934DC" w:rsidRPr="00CC62FC" w14:paraId="100604B5" w14:textId="77777777" w:rsidTr="00663BBC">
        <w:tc>
          <w:tcPr>
            <w:tcW w:w="4475" w:type="dxa"/>
          </w:tcPr>
          <w:p w14:paraId="59FBA45A" w14:textId="77777777" w:rsidR="00A934DC" w:rsidRPr="00CC62FC" w:rsidRDefault="00A934DC" w:rsidP="00663BBC">
            <w:pPr>
              <w:rPr>
                <w:rFonts w:cs="Arial"/>
                <w:szCs w:val="24"/>
              </w:rPr>
            </w:pPr>
            <w:r w:rsidRPr="00CC62FC">
              <w:rPr>
                <w:rFonts w:cs="Arial"/>
                <w:i/>
                <w:iCs/>
                <w:szCs w:val="24"/>
              </w:rPr>
              <w:t xml:space="preserve">     Challenging slurs</w:t>
            </w:r>
          </w:p>
        </w:tc>
        <w:tc>
          <w:tcPr>
            <w:tcW w:w="931" w:type="dxa"/>
          </w:tcPr>
          <w:p w14:paraId="25DCF82C" w14:textId="77777777" w:rsidR="00A934DC" w:rsidRPr="00CC62FC" w:rsidRDefault="00A934DC" w:rsidP="00663BBC">
            <w:pPr>
              <w:rPr>
                <w:rFonts w:cs="Arial"/>
                <w:i/>
                <w:iCs/>
                <w:szCs w:val="24"/>
              </w:rPr>
            </w:pPr>
          </w:p>
        </w:tc>
        <w:tc>
          <w:tcPr>
            <w:tcW w:w="1252" w:type="dxa"/>
          </w:tcPr>
          <w:p w14:paraId="292983E8" w14:textId="77777777" w:rsidR="00A934DC" w:rsidRPr="00CC62FC" w:rsidRDefault="00A934DC" w:rsidP="00663BBC">
            <w:pPr>
              <w:rPr>
                <w:rFonts w:cs="Arial"/>
                <w:i/>
                <w:iCs/>
                <w:szCs w:val="24"/>
              </w:rPr>
            </w:pPr>
            <w:r w:rsidRPr="00CC62FC">
              <w:rPr>
                <w:rFonts w:cs="Arial"/>
                <w:i/>
                <w:iCs/>
                <w:szCs w:val="24"/>
              </w:rPr>
              <w:t>1</w:t>
            </w:r>
          </w:p>
        </w:tc>
        <w:tc>
          <w:tcPr>
            <w:tcW w:w="1275" w:type="dxa"/>
          </w:tcPr>
          <w:p w14:paraId="38B61F8B" w14:textId="77777777" w:rsidR="00A934DC" w:rsidRPr="00CC62FC" w:rsidRDefault="00A934DC" w:rsidP="00663BBC">
            <w:pPr>
              <w:rPr>
                <w:rFonts w:cs="Arial"/>
                <w:i/>
                <w:iCs/>
                <w:szCs w:val="24"/>
              </w:rPr>
            </w:pPr>
          </w:p>
        </w:tc>
        <w:tc>
          <w:tcPr>
            <w:tcW w:w="1083" w:type="dxa"/>
          </w:tcPr>
          <w:p w14:paraId="3DE4DD2E" w14:textId="77777777" w:rsidR="00A934DC" w:rsidRPr="00CC62FC" w:rsidRDefault="00A934DC" w:rsidP="00663BBC">
            <w:pPr>
              <w:rPr>
                <w:rFonts w:cs="Arial"/>
                <w:szCs w:val="24"/>
              </w:rPr>
            </w:pPr>
            <w:r w:rsidRPr="00CC62FC">
              <w:rPr>
                <w:rFonts w:cs="Arial"/>
                <w:i/>
                <w:iCs/>
                <w:szCs w:val="24"/>
              </w:rPr>
              <w:t>1</w:t>
            </w:r>
          </w:p>
        </w:tc>
      </w:tr>
      <w:tr w:rsidR="00A934DC" w:rsidRPr="00CC62FC" w14:paraId="25B8CF26" w14:textId="77777777" w:rsidTr="00663BBC">
        <w:tc>
          <w:tcPr>
            <w:tcW w:w="4475" w:type="dxa"/>
          </w:tcPr>
          <w:p w14:paraId="51EF42CF" w14:textId="77777777" w:rsidR="00A934DC" w:rsidRPr="00CC62FC" w:rsidRDefault="00A934DC" w:rsidP="00663BBC">
            <w:pPr>
              <w:rPr>
                <w:rFonts w:cs="Arial"/>
                <w:szCs w:val="24"/>
              </w:rPr>
            </w:pPr>
            <w:r w:rsidRPr="00CC62FC">
              <w:rPr>
                <w:rFonts w:cs="Arial"/>
                <w:szCs w:val="24"/>
              </w:rPr>
              <w:t>Student progress</w:t>
            </w:r>
          </w:p>
        </w:tc>
        <w:tc>
          <w:tcPr>
            <w:tcW w:w="931" w:type="dxa"/>
          </w:tcPr>
          <w:p w14:paraId="62E2DBBC" w14:textId="77777777" w:rsidR="00A934DC" w:rsidRPr="00CC62FC" w:rsidRDefault="00A934DC" w:rsidP="00663BBC">
            <w:pPr>
              <w:rPr>
                <w:rFonts w:cs="Arial"/>
                <w:szCs w:val="24"/>
              </w:rPr>
            </w:pPr>
            <w:r w:rsidRPr="00CC62FC">
              <w:rPr>
                <w:rFonts w:cs="Arial"/>
                <w:szCs w:val="24"/>
              </w:rPr>
              <w:t>2</w:t>
            </w:r>
          </w:p>
        </w:tc>
        <w:tc>
          <w:tcPr>
            <w:tcW w:w="1252" w:type="dxa"/>
          </w:tcPr>
          <w:p w14:paraId="3414A1A6" w14:textId="77777777" w:rsidR="00A934DC" w:rsidRPr="00CC62FC" w:rsidRDefault="00A934DC" w:rsidP="00663BBC">
            <w:pPr>
              <w:rPr>
                <w:rFonts w:cs="Arial"/>
                <w:szCs w:val="24"/>
              </w:rPr>
            </w:pPr>
            <w:r w:rsidRPr="00CC62FC">
              <w:rPr>
                <w:rFonts w:cs="Arial"/>
                <w:szCs w:val="24"/>
              </w:rPr>
              <w:t>2</w:t>
            </w:r>
          </w:p>
        </w:tc>
        <w:tc>
          <w:tcPr>
            <w:tcW w:w="1275" w:type="dxa"/>
          </w:tcPr>
          <w:p w14:paraId="168A3BCB" w14:textId="77777777" w:rsidR="00A934DC" w:rsidRPr="00CC62FC" w:rsidRDefault="00A934DC" w:rsidP="00663BBC">
            <w:pPr>
              <w:rPr>
                <w:rFonts w:cs="Arial"/>
                <w:szCs w:val="24"/>
              </w:rPr>
            </w:pPr>
          </w:p>
        </w:tc>
        <w:tc>
          <w:tcPr>
            <w:tcW w:w="1083" w:type="dxa"/>
          </w:tcPr>
          <w:p w14:paraId="50249018" w14:textId="77777777" w:rsidR="00A934DC" w:rsidRPr="00CC62FC" w:rsidRDefault="00A934DC" w:rsidP="00663BBC">
            <w:pPr>
              <w:rPr>
                <w:rFonts w:cs="Arial"/>
                <w:szCs w:val="24"/>
              </w:rPr>
            </w:pPr>
            <w:r w:rsidRPr="00CC62FC">
              <w:rPr>
                <w:rFonts w:cs="Arial"/>
                <w:szCs w:val="24"/>
              </w:rPr>
              <w:t>4</w:t>
            </w:r>
          </w:p>
        </w:tc>
      </w:tr>
      <w:tr w:rsidR="00A934DC" w:rsidRPr="00CC62FC" w14:paraId="46DB5229" w14:textId="77777777" w:rsidTr="00663BBC">
        <w:tc>
          <w:tcPr>
            <w:tcW w:w="4475" w:type="dxa"/>
          </w:tcPr>
          <w:p w14:paraId="3DEFA3E5" w14:textId="77777777" w:rsidR="00A934DC" w:rsidRPr="00CC62FC" w:rsidRDefault="00A934DC" w:rsidP="00663BBC">
            <w:pPr>
              <w:rPr>
                <w:rFonts w:cs="Arial"/>
                <w:i/>
                <w:iCs/>
                <w:szCs w:val="24"/>
              </w:rPr>
            </w:pPr>
            <w:r w:rsidRPr="00CC62FC">
              <w:rPr>
                <w:rFonts w:cs="Arial"/>
                <w:i/>
                <w:iCs/>
                <w:szCs w:val="24"/>
              </w:rPr>
              <w:t xml:space="preserve">     Mitigating circumstances procedures</w:t>
            </w:r>
          </w:p>
        </w:tc>
        <w:tc>
          <w:tcPr>
            <w:tcW w:w="931" w:type="dxa"/>
          </w:tcPr>
          <w:p w14:paraId="2D6F5FC9" w14:textId="77777777" w:rsidR="00A934DC" w:rsidRPr="00CC62FC" w:rsidRDefault="00A934DC" w:rsidP="00663BBC">
            <w:pPr>
              <w:rPr>
                <w:rFonts w:cs="Arial"/>
                <w:i/>
                <w:iCs/>
                <w:szCs w:val="24"/>
              </w:rPr>
            </w:pPr>
            <w:r w:rsidRPr="00CC62FC">
              <w:rPr>
                <w:rFonts w:cs="Arial"/>
                <w:i/>
                <w:iCs/>
                <w:szCs w:val="24"/>
              </w:rPr>
              <w:t>1</w:t>
            </w:r>
          </w:p>
        </w:tc>
        <w:tc>
          <w:tcPr>
            <w:tcW w:w="1252" w:type="dxa"/>
          </w:tcPr>
          <w:p w14:paraId="24BA6276" w14:textId="77777777" w:rsidR="00A934DC" w:rsidRPr="00CC62FC" w:rsidRDefault="00A934DC" w:rsidP="00663BBC">
            <w:pPr>
              <w:rPr>
                <w:rFonts w:cs="Arial"/>
                <w:i/>
                <w:iCs/>
                <w:szCs w:val="24"/>
              </w:rPr>
            </w:pPr>
            <w:r w:rsidRPr="00CC62FC">
              <w:rPr>
                <w:rFonts w:cs="Arial"/>
                <w:i/>
                <w:iCs/>
                <w:szCs w:val="24"/>
              </w:rPr>
              <w:t>1</w:t>
            </w:r>
          </w:p>
        </w:tc>
        <w:tc>
          <w:tcPr>
            <w:tcW w:w="1275" w:type="dxa"/>
          </w:tcPr>
          <w:p w14:paraId="1D600470" w14:textId="77777777" w:rsidR="00A934DC" w:rsidRPr="00CC62FC" w:rsidRDefault="00A934DC" w:rsidP="00663BBC">
            <w:pPr>
              <w:rPr>
                <w:rFonts w:cs="Arial"/>
                <w:i/>
                <w:iCs/>
                <w:szCs w:val="24"/>
              </w:rPr>
            </w:pPr>
          </w:p>
        </w:tc>
        <w:tc>
          <w:tcPr>
            <w:tcW w:w="1083" w:type="dxa"/>
          </w:tcPr>
          <w:p w14:paraId="0796FFAD" w14:textId="77777777" w:rsidR="00A934DC" w:rsidRPr="00CC62FC" w:rsidRDefault="00A934DC" w:rsidP="00663BBC">
            <w:pPr>
              <w:rPr>
                <w:rFonts w:cs="Arial"/>
                <w:i/>
                <w:iCs/>
                <w:szCs w:val="24"/>
              </w:rPr>
            </w:pPr>
            <w:r w:rsidRPr="00CC62FC">
              <w:rPr>
                <w:rFonts w:cs="Arial"/>
                <w:i/>
                <w:iCs/>
                <w:szCs w:val="24"/>
              </w:rPr>
              <w:t>2</w:t>
            </w:r>
          </w:p>
        </w:tc>
      </w:tr>
      <w:tr w:rsidR="00A934DC" w:rsidRPr="00CC62FC" w14:paraId="6AAB5D95" w14:textId="77777777" w:rsidTr="00663BBC">
        <w:tc>
          <w:tcPr>
            <w:tcW w:w="4475" w:type="dxa"/>
          </w:tcPr>
          <w:p w14:paraId="66EBBF37" w14:textId="77777777" w:rsidR="00A934DC" w:rsidRPr="00CC62FC" w:rsidRDefault="00A934DC" w:rsidP="00663BBC">
            <w:pPr>
              <w:rPr>
                <w:rFonts w:cs="Arial"/>
                <w:i/>
                <w:iCs/>
                <w:szCs w:val="24"/>
              </w:rPr>
            </w:pPr>
            <w:r w:rsidRPr="00CC62FC">
              <w:rPr>
                <w:rFonts w:cs="Arial"/>
                <w:i/>
                <w:iCs/>
                <w:szCs w:val="24"/>
              </w:rPr>
              <w:t xml:space="preserve">     Impact of trans health care needs </w:t>
            </w:r>
          </w:p>
        </w:tc>
        <w:tc>
          <w:tcPr>
            <w:tcW w:w="931" w:type="dxa"/>
          </w:tcPr>
          <w:p w14:paraId="7D139664" w14:textId="77777777" w:rsidR="00A934DC" w:rsidRPr="00CC62FC" w:rsidRDefault="00A934DC" w:rsidP="00663BBC">
            <w:pPr>
              <w:rPr>
                <w:rFonts w:cs="Arial"/>
                <w:i/>
                <w:iCs/>
                <w:szCs w:val="24"/>
              </w:rPr>
            </w:pPr>
            <w:r w:rsidRPr="00CC62FC">
              <w:rPr>
                <w:rFonts w:cs="Arial"/>
                <w:i/>
                <w:iCs/>
                <w:szCs w:val="24"/>
              </w:rPr>
              <w:t>1</w:t>
            </w:r>
          </w:p>
        </w:tc>
        <w:tc>
          <w:tcPr>
            <w:tcW w:w="1252" w:type="dxa"/>
          </w:tcPr>
          <w:p w14:paraId="737D6C5E" w14:textId="77777777" w:rsidR="00A934DC" w:rsidRPr="00CC62FC" w:rsidRDefault="00A934DC" w:rsidP="00663BBC">
            <w:pPr>
              <w:rPr>
                <w:rFonts w:cs="Arial"/>
                <w:i/>
                <w:iCs/>
                <w:szCs w:val="24"/>
              </w:rPr>
            </w:pPr>
            <w:r w:rsidRPr="00CC62FC">
              <w:rPr>
                <w:rFonts w:cs="Arial"/>
                <w:i/>
                <w:iCs/>
                <w:szCs w:val="24"/>
              </w:rPr>
              <w:t>1</w:t>
            </w:r>
          </w:p>
        </w:tc>
        <w:tc>
          <w:tcPr>
            <w:tcW w:w="1275" w:type="dxa"/>
          </w:tcPr>
          <w:p w14:paraId="2DB33DAC" w14:textId="77777777" w:rsidR="00A934DC" w:rsidRPr="00CC62FC" w:rsidRDefault="00A934DC" w:rsidP="00663BBC">
            <w:pPr>
              <w:rPr>
                <w:rFonts w:cs="Arial"/>
                <w:i/>
                <w:iCs/>
                <w:szCs w:val="24"/>
              </w:rPr>
            </w:pPr>
          </w:p>
        </w:tc>
        <w:tc>
          <w:tcPr>
            <w:tcW w:w="1083" w:type="dxa"/>
          </w:tcPr>
          <w:p w14:paraId="5051BC23" w14:textId="77777777" w:rsidR="00A934DC" w:rsidRPr="00CC62FC" w:rsidRDefault="00A934DC" w:rsidP="00663BBC">
            <w:pPr>
              <w:rPr>
                <w:rFonts w:cs="Arial"/>
                <w:i/>
                <w:iCs/>
                <w:szCs w:val="24"/>
              </w:rPr>
            </w:pPr>
            <w:r w:rsidRPr="00CC62FC">
              <w:rPr>
                <w:rFonts w:cs="Arial"/>
                <w:i/>
                <w:iCs/>
                <w:szCs w:val="24"/>
              </w:rPr>
              <w:t>2</w:t>
            </w:r>
          </w:p>
        </w:tc>
      </w:tr>
      <w:tr w:rsidR="00A934DC" w:rsidRPr="00CC62FC" w14:paraId="077F6BD4" w14:textId="77777777" w:rsidTr="00663BBC">
        <w:tc>
          <w:tcPr>
            <w:tcW w:w="4475" w:type="dxa"/>
          </w:tcPr>
          <w:p w14:paraId="4B321949" w14:textId="77777777" w:rsidR="00A934DC" w:rsidRPr="00CC62FC" w:rsidRDefault="00A934DC" w:rsidP="00663BBC">
            <w:pPr>
              <w:rPr>
                <w:rFonts w:cs="Arial"/>
                <w:szCs w:val="24"/>
              </w:rPr>
            </w:pPr>
            <w:r w:rsidRPr="00CC62FC">
              <w:rPr>
                <w:rFonts w:cs="Arial"/>
                <w:szCs w:val="24"/>
              </w:rPr>
              <w:t>Accommodation and housing</w:t>
            </w:r>
          </w:p>
        </w:tc>
        <w:tc>
          <w:tcPr>
            <w:tcW w:w="931" w:type="dxa"/>
          </w:tcPr>
          <w:p w14:paraId="5C00DE88" w14:textId="77777777" w:rsidR="00A934DC" w:rsidRPr="00CC62FC" w:rsidRDefault="00A934DC" w:rsidP="00663BBC">
            <w:pPr>
              <w:rPr>
                <w:rFonts w:cs="Arial"/>
                <w:szCs w:val="24"/>
              </w:rPr>
            </w:pPr>
            <w:r w:rsidRPr="00CC62FC">
              <w:rPr>
                <w:rFonts w:cs="Arial"/>
                <w:szCs w:val="24"/>
              </w:rPr>
              <w:t>2</w:t>
            </w:r>
          </w:p>
        </w:tc>
        <w:tc>
          <w:tcPr>
            <w:tcW w:w="1252" w:type="dxa"/>
          </w:tcPr>
          <w:p w14:paraId="2865FF85" w14:textId="77777777" w:rsidR="00A934DC" w:rsidRPr="00CC62FC" w:rsidRDefault="00A934DC" w:rsidP="00663BBC">
            <w:pPr>
              <w:rPr>
                <w:rFonts w:cs="Arial"/>
                <w:szCs w:val="24"/>
              </w:rPr>
            </w:pPr>
            <w:r w:rsidRPr="00CC62FC">
              <w:rPr>
                <w:rFonts w:cs="Arial"/>
                <w:szCs w:val="24"/>
              </w:rPr>
              <w:t>2</w:t>
            </w:r>
          </w:p>
        </w:tc>
        <w:tc>
          <w:tcPr>
            <w:tcW w:w="1275" w:type="dxa"/>
          </w:tcPr>
          <w:p w14:paraId="6C084B4F" w14:textId="77777777" w:rsidR="00A934DC" w:rsidRPr="00CC62FC" w:rsidRDefault="00A934DC" w:rsidP="00663BBC">
            <w:pPr>
              <w:rPr>
                <w:rFonts w:cs="Arial"/>
                <w:szCs w:val="24"/>
              </w:rPr>
            </w:pPr>
          </w:p>
        </w:tc>
        <w:tc>
          <w:tcPr>
            <w:tcW w:w="1083" w:type="dxa"/>
          </w:tcPr>
          <w:p w14:paraId="153E062B" w14:textId="77777777" w:rsidR="00A934DC" w:rsidRPr="00CC62FC" w:rsidRDefault="00A934DC" w:rsidP="00663BBC">
            <w:pPr>
              <w:rPr>
                <w:rFonts w:cs="Arial"/>
                <w:szCs w:val="24"/>
              </w:rPr>
            </w:pPr>
            <w:r w:rsidRPr="00CC62FC">
              <w:rPr>
                <w:rFonts w:cs="Arial"/>
                <w:szCs w:val="24"/>
              </w:rPr>
              <w:t>4</w:t>
            </w:r>
          </w:p>
        </w:tc>
      </w:tr>
      <w:tr w:rsidR="00A934DC" w:rsidRPr="00CC62FC" w14:paraId="1B8328A9" w14:textId="77777777" w:rsidTr="00663BBC">
        <w:tc>
          <w:tcPr>
            <w:tcW w:w="4475" w:type="dxa"/>
          </w:tcPr>
          <w:p w14:paraId="3E584D14" w14:textId="77777777" w:rsidR="00A934DC" w:rsidRPr="00CC62FC" w:rsidRDefault="00A934DC" w:rsidP="00663BBC">
            <w:pPr>
              <w:rPr>
                <w:rFonts w:cs="Arial"/>
                <w:szCs w:val="24"/>
              </w:rPr>
            </w:pPr>
            <w:r w:rsidRPr="00CC62FC">
              <w:rPr>
                <w:rFonts w:cs="Arial"/>
                <w:i/>
                <w:iCs/>
                <w:szCs w:val="24"/>
              </w:rPr>
              <w:t xml:space="preserve">     Accommodation (university halls)</w:t>
            </w:r>
          </w:p>
        </w:tc>
        <w:tc>
          <w:tcPr>
            <w:tcW w:w="931" w:type="dxa"/>
          </w:tcPr>
          <w:p w14:paraId="5C91C06C" w14:textId="77777777" w:rsidR="00A934DC" w:rsidRPr="00CC62FC" w:rsidRDefault="00A934DC" w:rsidP="00663BBC">
            <w:pPr>
              <w:rPr>
                <w:rFonts w:cs="Arial"/>
                <w:szCs w:val="24"/>
              </w:rPr>
            </w:pPr>
            <w:r w:rsidRPr="00CC62FC">
              <w:rPr>
                <w:rFonts w:cs="Arial"/>
                <w:i/>
                <w:iCs/>
                <w:szCs w:val="24"/>
              </w:rPr>
              <w:t>1</w:t>
            </w:r>
          </w:p>
        </w:tc>
        <w:tc>
          <w:tcPr>
            <w:tcW w:w="1252" w:type="dxa"/>
          </w:tcPr>
          <w:p w14:paraId="5E8FC600" w14:textId="77777777" w:rsidR="00A934DC" w:rsidRPr="00CC62FC" w:rsidRDefault="00A934DC" w:rsidP="00663BBC">
            <w:pPr>
              <w:rPr>
                <w:rFonts w:cs="Arial"/>
                <w:szCs w:val="24"/>
              </w:rPr>
            </w:pPr>
            <w:r w:rsidRPr="00CC62FC">
              <w:rPr>
                <w:rFonts w:cs="Arial"/>
                <w:i/>
                <w:iCs/>
                <w:szCs w:val="24"/>
              </w:rPr>
              <w:t>2</w:t>
            </w:r>
          </w:p>
        </w:tc>
        <w:tc>
          <w:tcPr>
            <w:tcW w:w="1275" w:type="dxa"/>
          </w:tcPr>
          <w:p w14:paraId="4CABD4E0" w14:textId="77777777" w:rsidR="00A934DC" w:rsidRPr="00CC62FC" w:rsidRDefault="00A934DC" w:rsidP="00663BBC">
            <w:pPr>
              <w:rPr>
                <w:rFonts w:cs="Arial"/>
                <w:szCs w:val="24"/>
              </w:rPr>
            </w:pPr>
          </w:p>
        </w:tc>
        <w:tc>
          <w:tcPr>
            <w:tcW w:w="1083" w:type="dxa"/>
          </w:tcPr>
          <w:p w14:paraId="77127E46" w14:textId="77777777" w:rsidR="00A934DC" w:rsidRPr="00CC62FC" w:rsidRDefault="00A934DC" w:rsidP="00663BBC">
            <w:pPr>
              <w:rPr>
                <w:rFonts w:cs="Arial"/>
                <w:szCs w:val="24"/>
              </w:rPr>
            </w:pPr>
            <w:r w:rsidRPr="00CC62FC">
              <w:rPr>
                <w:rFonts w:cs="Arial"/>
                <w:i/>
                <w:iCs/>
                <w:szCs w:val="24"/>
              </w:rPr>
              <w:t>3</w:t>
            </w:r>
          </w:p>
        </w:tc>
      </w:tr>
      <w:tr w:rsidR="00A934DC" w:rsidRPr="00CC62FC" w14:paraId="70FA4E5D" w14:textId="77777777" w:rsidTr="00663BBC">
        <w:tc>
          <w:tcPr>
            <w:tcW w:w="4475" w:type="dxa"/>
          </w:tcPr>
          <w:p w14:paraId="11BB9E29" w14:textId="77777777" w:rsidR="00A934DC" w:rsidRPr="00CC62FC" w:rsidRDefault="00A934DC" w:rsidP="00663BBC">
            <w:pPr>
              <w:rPr>
                <w:rFonts w:cs="Arial"/>
                <w:szCs w:val="24"/>
              </w:rPr>
            </w:pPr>
            <w:r w:rsidRPr="00CC62FC">
              <w:rPr>
                <w:rFonts w:cs="Arial"/>
                <w:i/>
                <w:iCs/>
                <w:szCs w:val="24"/>
              </w:rPr>
              <w:t xml:space="preserve">     Accommodation (cost of living)</w:t>
            </w:r>
          </w:p>
        </w:tc>
        <w:tc>
          <w:tcPr>
            <w:tcW w:w="931" w:type="dxa"/>
          </w:tcPr>
          <w:p w14:paraId="65AF384D" w14:textId="77777777" w:rsidR="00A934DC" w:rsidRPr="00CC62FC" w:rsidRDefault="00A934DC" w:rsidP="00663BBC">
            <w:pPr>
              <w:rPr>
                <w:rFonts w:cs="Arial"/>
                <w:i/>
                <w:iCs/>
                <w:szCs w:val="24"/>
              </w:rPr>
            </w:pPr>
            <w:r w:rsidRPr="00CC62FC">
              <w:rPr>
                <w:rFonts w:cs="Arial"/>
                <w:i/>
                <w:iCs/>
                <w:szCs w:val="24"/>
              </w:rPr>
              <w:t>1</w:t>
            </w:r>
          </w:p>
        </w:tc>
        <w:tc>
          <w:tcPr>
            <w:tcW w:w="1252" w:type="dxa"/>
          </w:tcPr>
          <w:p w14:paraId="0E0FBEAA" w14:textId="77777777" w:rsidR="00A934DC" w:rsidRPr="00CC62FC" w:rsidRDefault="00A934DC" w:rsidP="00663BBC">
            <w:pPr>
              <w:rPr>
                <w:rFonts w:cs="Arial"/>
                <w:szCs w:val="24"/>
              </w:rPr>
            </w:pPr>
          </w:p>
        </w:tc>
        <w:tc>
          <w:tcPr>
            <w:tcW w:w="1275" w:type="dxa"/>
          </w:tcPr>
          <w:p w14:paraId="0D122753" w14:textId="77777777" w:rsidR="00A934DC" w:rsidRPr="00CC62FC" w:rsidRDefault="00A934DC" w:rsidP="00663BBC">
            <w:pPr>
              <w:rPr>
                <w:rFonts w:cs="Arial"/>
                <w:szCs w:val="24"/>
              </w:rPr>
            </w:pPr>
          </w:p>
        </w:tc>
        <w:tc>
          <w:tcPr>
            <w:tcW w:w="1083" w:type="dxa"/>
          </w:tcPr>
          <w:p w14:paraId="0C7B4B09" w14:textId="77777777" w:rsidR="00A934DC" w:rsidRPr="00CC62FC" w:rsidRDefault="00A934DC" w:rsidP="00663BBC">
            <w:pPr>
              <w:rPr>
                <w:rFonts w:cs="Arial"/>
                <w:szCs w:val="24"/>
              </w:rPr>
            </w:pPr>
            <w:r w:rsidRPr="00CC62FC">
              <w:rPr>
                <w:rFonts w:cs="Arial"/>
                <w:i/>
                <w:iCs/>
                <w:szCs w:val="24"/>
              </w:rPr>
              <w:t>1</w:t>
            </w:r>
          </w:p>
        </w:tc>
      </w:tr>
      <w:tr w:rsidR="00A934DC" w:rsidRPr="00CC62FC" w14:paraId="7A849A8A" w14:textId="77777777" w:rsidTr="00663BBC">
        <w:tc>
          <w:tcPr>
            <w:tcW w:w="4475" w:type="dxa"/>
          </w:tcPr>
          <w:p w14:paraId="4D9D4B88" w14:textId="77777777" w:rsidR="00A934DC" w:rsidRPr="00CC62FC" w:rsidRDefault="00A934DC" w:rsidP="00663BBC">
            <w:pPr>
              <w:rPr>
                <w:rFonts w:cs="Arial"/>
                <w:szCs w:val="24"/>
              </w:rPr>
            </w:pPr>
            <w:r w:rsidRPr="00CC62FC">
              <w:rPr>
                <w:rFonts w:cs="Arial"/>
                <w:szCs w:val="24"/>
              </w:rPr>
              <w:t>Sports facilities and teams</w:t>
            </w:r>
          </w:p>
        </w:tc>
        <w:tc>
          <w:tcPr>
            <w:tcW w:w="931" w:type="dxa"/>
          </w:tcPr>
          <w:p w14:paraId="26678317" w14:textId="77777777" w:rsidR="00A934DC" w:rsidRPr="00CC62FC" w:rsidRDefault="00A934DC" w:rsidP="00663BBC">
            <w:pPr>
              <w:rPr>
                <w:rFonts w:cs="Arial"/>
                <w:szCs w:val="24"/>
              </w:rPr>
            </w:pPr>
            <w:r w:rsidRPr="00CC62FC">
              <w:rPr>
                <w:rFonts w:cs="Arial"/>
                <w:szCs w:val="24"/>
              </w:rPr>
              <w:t>1</w:t>
            </w:r>
          </w:p>
        </w:tc>
        <w:tc>
          <w:tcPr>
            <w:tcW w:w="1252" w:type="dxa"/>
          </w:tcPr>
          <w:p w14:paraId="6C1CC54C" w14:textId="77777777" w:rsidR="00A934DC" w:rsidRPr="00CC62FC" w:rsidRDefault="00A934DC" w:rsidP="00663BBC">
            <w:pPr>
              <w:rPr>
                <w:rFonts w:cs="Arial"/>
                <w:szCs w:val="24"/>
              </w:rPr>
            </w:pPr>
            <w:r w:rsidRPr="00CC62FC">
              <w:rPr>
                <w:rFonts w:cs="Arial"/>
                <w:szCs w:val="24"/>
              </w:rPr>
              <w:t>2</w:t>
            </w:r>
          </w:p>
        </w:tc>
        <w:tc>
          <w:tcPr>
            <w:tcW w:w="1275" w:type="dxa"/>
          </w:tcPr>
          <w:p w14:paraId="26C9DA70" w14:textId="77777777" w:rsidR="00A934DC" w:rsidRPr="00CC62FC" w:rsidRDefault="00A934DC" w:rsidP="00663BBC">
            <w:pPr>
              <w:rPr>
                <w:rFonts w:cs="Arial"/>
                <w:szCs w:val="24"/>
              </w:rPr>
            </w:pPr>
          </w:p>
        </w:tc>
        <w:tc>
          <w:tcPr>
            <w:tcW w:w="1083" w:type="dxa"/>
          </w:tcPr>
          <w:p w14:paraId="28CDCED5" w14:textId="77777777" w:rsidR="00A934DC" w:rsidRPr="00CC62FC" w:rsidRDefault="00A934DC" w:rsidP="00663BBC">
            <w:pPr>
              <w:rPr>
                <w:rFonts w:cs="Arial"/>
                <w:szCs w:val="24"/>
              </w:rPr>
            </w:pPr>
            <w:r w:rsidRPr="00CC62FC">
              <w:rPr>
                <w:rFonts w:cs="Arial"/>
                <w:szCs w:val="24"/>
              </w:rPr>
              <w:t>3</w:t>
            </w:r>
          </w:p>
        </w:tc>
      </w:tr>
      <w:tr w:rsidR="00A934DC" w:rsidRPr="00CC62FC" w14:paraId="57E1C6D8" w14:textId="77777777" w:rsidTr="00663BBC">
        <w:tc>
          <w:tcPr>
            <w:tcW w:w="4475" w:type="dxa"/>
          </w:tcPr>
          <w:p w14:paraId="4C29A62E" w14:textId="77777777" w:rsidR="00A934DC" w:rsidRPr="00CC62FC" w:rsidRDefault="00A934DC" w:rsidP="00663BBC">
            <w:pPr>
              <w:rPr>
                <w:rFonts w:cs="Arial"/>
                <w:szCs w:val="24"/>
              </w:rPr>
            </w:pPr>
            <w:r w:rsidRPr="00CC62FC">
              <w:rPr>
                <w:rFonts w:cs="Arial"/>
                <w:szCs w:val="24"/>
              </w:rPr>
              <w:t>Atmosphere in general</w:t>
            </w:r>
          </w:p>
        </w:tc>
        <w:tc>
          <w:tcPr>
            <w:tcW w:w="931" w:type="dxa"/>
          </w:tcPr>
          <w:p w14:paraId="74D90AE6" w14:textId="77777777" w:rsidR="00A934DC" w:rsidRPr="00CC62FC" w:rsidRDefault="00A934DC" w:rsidP="00663BBC">
            <w:pPr>
              <w:rPr>
                <w:rFonts w:cs="Arial"/>
                <w:szCs w:val="24"/>
              </w:rPr>
            </w:pPr>
            <w:r w:rsidRPr="00CC62FC">
              <w:rPr>
                <w:rFonts w:cs="Arial"/>
                <w:szCs w:val="24"/>
              </w:rPr>
              <w:t>1</w:t>
            </w:r>
          </w:p>
        </w:tc>
        <w:tc>
          <w:tcPr>
            <w:tcW w:w="1252" w:type="dxa"/>
          </w:tcPr>
          <w:p w14:paraId="458411BD" w14:textId="77777777" w:rsidR="00A934DC" w:rsidRPr="00CC62FC" w:rsidRDefault="00A934DC" w:rsidP="00663BBC">
            <w:pPr>
              <w:rPr>
                <w:rFonts w:cs="Arial"/>
                <w:szCs w:val="24"/>
              </w:rPr>
            </w:pPr>
            <w:r w:rsidRPr="00CC62FC">
              <w:rPr>
                <w:rFonts w:cs="Arial"/>
                <w:szCs w:val="24"/>
              </w:rPr>
              <w:t>2</w:t>
            </w:r>
          </w:p>
        </w:tc>
        <w:tc>
          <w:tcPr>
            <w:tcW w:w="1275" w:type="dxa"/>
          </w:tcPr>
          <w:p w14:paraId="76A966FC" w14:textId="77777777" w:rsidR="00A934DC" w:rsidRPr="00CC62FC" w:rsidRDefault="00A934DC" w:rsidP="00663BBC">
            <w:pPr>
              <w:rPr>
                <w:rFonts w:cs="Arial"/>
                <w:szCs w:val="24"/>
              </w:rPr>
            </w:pPr>
          </w:p>
        </w:tc>
        <w:tc>
          <w:tcPr>
            <w:tcW w:w="1083" w:type="dxa"/>
          </w:tcPr>
          <w:p w14:paraId="5BE0BDE4" w14:textId="77777777" w:rsidR="00A934DC" w:rsidRPr="00CC62FC" w:rsidRDefault="00A934DC" w:rsidP="00663BBC">
            <w:pPr>
              <w:rPr>
                <w:rFonts w:cs="Arial"/>
                <w:szCs w:val="24"/>
              </w:rPr>
            </w:pPr>
            <w:r w:rsidRPr="00CC62FC">
              <w:rPr>
                <w:rFonts w:cs="Arial"/>
                <w:szCs w:val="24"/>
              </w:rPr>
              <w:t>3</w:t>
            </w:r>
          </w:p>
        </w:tc>
      </w:tr>
      <w:tr w:rsidR="00A934DC" w:rsidRPr="00CC62FC" w14:paraId="270B21FE" w14:textId="77777777" w:rsidTr="00663BBC">
        <w:tc>
          <w:tcPr>
            <w:tcW w:w="4475" w:type="dxa"/>
          </w:tcPr>
          <w:p w14:paraId="0B961F58" w14:textId="77777777" w:rsidR="00A934DC" w:rsidRPr="00CC62FC" w:rsidRDefault="00A934DC" w:rsidP="00663BBC">
            <w:pPr>
              <w:rPr>
                <w:rFonts w:cs="Arial"/>
                <w:szCs w:val="24"/>
              </w:rPr>
            </w:pPr>
            <w:r w:rsidRPr="00CC62FC">
              <w:rPr>
                <w:rFonts w:cs="Arial"/>
                <w:szCs w:val="24"/>
              </w:rPr>
              <w:t>Support staff and services</w:t>
            </w:r>
          </w:p>
        </w:tc>
        <w:tc>
          <w:tcPr>
            <w:tcW w:w="931" w:type="dxa"/>
          </w:tcPr>
          <w:p w14:paraId="193D2267" w14:textId="77777777" w:rsidR="00A934DC" w:rsidRPr="00CC62FC" w:rsidRDefault="00A934DC" w:rsidP="00663BBC">
            <w:pPr>
              <w:rPr>
                <w:rFonts w:cs="Arial"/>
                <w:szCs w:val="24"/>
              </w:rPr>
            </w:pPr>
            <w:r w:rsidRPr="00CC62FC">
              <w:rPr>
                <w:rFonts w:cs="Arial"/>
                <w:szCs w:val="24"/>
              </w:rPr>
              <w:t>1</w:t>
            </w:r>
          </w:p>
        </w:tc>
        <w:tc>
          <w:tcPr>
            <w:tcW w:w="1252" w:type="dxa"/>
          </w:tcPr>
          <w:p w14:paraId="595D7C11" w14:textId="77777777" w:rsidR="00A934DC" w:rsidRPr="00CC62FC" w:rsidRDefault="00A934DC" w:rsidP="00663BBC">
            <w:pPr>
              <w:rPr>
                <w:rFonts w:cs="Arial"/>
                <w:szCs w:val="24"/>
              </w:rPr>
            </w:pPr>
            <w:r w:rsidRPr="00CC62FC">
              <w:rPr>
                <w:rFonts w:cs="Arial"/>
                <w:szCs w:val="24"/>
              </w:rPr>
              <w:t>1</w:t>
            </w:r>
          </w:p>
        </w:tc>
        <w:tc>
          <w:tcPr>
            <w:tcW w:w="1275" w:type="dxa"/>
          </w:tcPr>
          <w:p w14:paraId="726D9048" w14:textId="77777777" w:rsidR="00A934DC" w:rsidRPr="00CC62FC" w:rsidRDefault="00A934DC" w:rsidP="00663BBC">
            <w:pPr>
              <w:rPr>
                <w:rFonts w:cs="Arial"/>
                <w:szCs w:val="24"/>
              </w:rPr>
            </w:pPr>
          </w:p>
        </w:tc>
        <w:tc>
          <w:tcPr>
            <w:tcW w:w="1083" w:type="dxa"/>
          </w:tcPr>
          <w:p w14:paraId="704520E0" w14:textId="77777777" w:rsidR="00A934DC" w:rsidRPr="00CC62FC" w:rsidRDefault="00A934DC" w:rsidP="00663BBC">
            <w:pPr>
              <w:rPr>
                <w:rFonts w:cs="Arial"/>
                <w:szCs w:val="24"/>
              </w:rPr>
            </w:pPr>
            <w:r w:rsidRPr="00CC62FC">
              <w:rPr>
                <w:rFonts w:cs="Arial"/>
                <w:szCs w:val="24"/>
              </w:rPr>
              <w:t>3</w:t>
            </w:r>
          </w:p>
        </w:tc>
      </w:tr>
      <w:tr w:rsidR="00A934DC" w:rsidRPr="00CC62FC" w14:paraId="1439E2F6" w14:textId="77777777" w:rsidTr="00663BBC">
        <w:tc>
          <w:tcPr>
            <w:tcW w:w="4475" w:type="dxa"/>
          </w:tcPr>
          <w:p w14:paraId="7123E769" w14:textId="77777777" w:rsidR="00A934DC" w:rsidRPr="00CC62FC" w:rsidRDefault="00A934DC" w:rsidP="00663BBC">
            <w:pPr>
              <w:rPr>
                <w:rFonts w:cs="Arial"/>
                <w:szCs w:val="24"/>
              </w:rPr>
            </w:pPr>
            <w:r w:rsidRPr="00CC62FC">
              <w:rPr>
                <w:rFonts w:cs="Arial"/>
                <w:szCs w:val="24"/>
              </w:rPr>
              <w:t>Training for students outside modules</w:t>
            </w:r>
          </w:p>
        </w:tc>
        <w:tc>
          <w:tcPr>
            <w:tcW w:w="931" w:type="dxa"/>
          </w:tcPr>
          <w:p w14:paraId="097194B2" w14:textId="77777777" w:rsidR="00A934DC" w:rsidRPr="00CC62FC" w:rsidRDefault="00A934DC" w:rsidP="00663BBC">
            <w:pPr>
              <w:rPr>
                <w:rFonts w:cs="Arial"/>
                <w:szCs w:val="24"/>
              </w:rPr>
            </w:pPr>
            <w:r w:rsidRPr="00CC62FC">
              <w:rPr>
                <w:rFonts w:cs="Arial"/>
                <w:szCs w:val="24"/>
              </w:rPr>
              <w:t>1</w:t>
            </w:r>
          </w:p>
        </w:tc>
        <w:tc>
          <w:tcPr>
            <w:tcW w:w="1252" w:type="dxa"/>
          </w:tcPr>
          <w:p w14:paraId="6562135B" w14:textId="77777777" w:rsidR="00A934DC" w:rsidRPr="00CC62FC" w:rsidRDefault="00A934DC" w:rsidP="00663BBC">
            <w:pPr>
              <w:rPr>
                <w:rFonts w:cs="Arial"/>
                <w:szCs w:val="24"/>
              </w:rPr>
            </w:pPr>
          </w:p>
        </w:tc>
        <w:tc>
          <w:tcPr>
            <w:tcW w:w="1275" w:type="dxa"/>
          </w:tcPr>
          <w:p w14:paraId="7E8D67B7" w14:textId="77777777" w:rsidR="00A934DC" w:rsidRPr="00CC62FC" w:rsidRDefault="00A934DC" w:rsidP="00663BBC">
            <w:pPr>
              <w:rPr>
                <w:rFonts w:cs="Arial"/>
                <w:szCs w:val="24"/>
              </w:rPr>
            </w:pPr>
            <w:r w:rsidRPr="00CC62FC">
              <w:rPr>
                <w:rFonts w:cs="Arial"/>
                <w:szCs w:val="24"/>
              </w:rPr>
              <w:t>1</w:t>
            </w:r>
          </w:p>
        </w:tc>
        <w:tc>
          <w:tcPr>
            <w:tcW w:w="1083" w:type="dxa"/>
          </w:tcPr>
          <w:p w14:paraId="11D0D9A2" w14:textId="77777777" w:rsidR="00A934DC" w:rsidRPr="00CC62FC" w:rsidRDefault="00A934DC" w:rsidP="00663BBC">
            <w:pPr>
              <w:rPr>
                <w:rFonts w:cs="Arial"/>
                <w:szCs w:val="24"/>
              </w:rPr>
            </w:pPr>
            <w:r w:rsidRPr="00CC62FC">
              <w:rPr>
                <w:rFonts w:cs="Arial"/>
                <w:szCs w:val="24"/>
              </w:rPr>
              <w:t>3</w:t>
            </w:r>
          </w:p>
        </w:tc>
      </w:tr>
      <w:tr w:rsidR="00A934DC" w:rsidRPr="00CC62FC" w14:paraId="3BCD2FEB" w14:textId="77777777" w:rsidTr="00663BBC">
        <w:tc>
          <w:tcPr>
            <w:tcW w:w="4475" w:type="dxa"/>
          </w:tcPr>
          <w:p w14:paraId="0BC4B94F" w14:textId="77777777" w:rsidR="00A934DC" w:rsidRPr="00CC62FC" w:rsidRDefault="00A934DC" w:rsidP="00663BBC">
            <w:pPr>
              <w:rPr>
                <w:rFonts w:cs="Arial"/>
                <w:szCs w:val="24"/>
              </w:rPr>
            </w:pPr>
            <w:r w:rsidRPr="00CC62FC">
              <w:rPr>
                <w:rFonts w:cs="Arial"/>
                <w:szCs w:val="24"/>
              </w:rPr>
              <w:t>Social inequalities in general</w:t>
            </w:r>
          </w:p>
        </w:tc>
        <w:tc>
          <w:tcPr>
            <w:tcW w:w="931" w:type="dxa"/>
          </w:tcPr>
          <w:p w14:paraId="1505B92F" w14:textId="77777777" w:rsidR="00A934DC" w:rsidRPr="00CC62FC" w:rsidRDefault="00A934DC" w:rsidP="00663BBC">
            <w:pPr>
              <w:rPr>
                <w:rFonts w:cs="Arial"/>
                <w:szCs w:val="24"/>
              </w:rPr>
            </w:pPr>
            <w:r w:rsidRPr="00CC62FC">
              <w:rPr>
                <w:rFonts w:cs="Arial"/>
                <w:szCs w:val="24"/>
              </w:rPr>
              <w:t>1</w:t>
            </w:r>
          </w:p>
        </w:tc>
        <w:tc>
          <w:tcPr>
            <w:tcW w:w="1252" w:type="dxa"/>
          </w:tcPr>
          <w:p w14:paraId="179DFD5E" w14:textId="77777777" w:rsidR="00A934DC" w:rsidRPr="00CC62FC" w:rsidRDefault="00A934DC" w:rsidP="00663BBC">
            <w:pPr>
              <w:rPr>
                <w:rFonts w:cs="Arial"/>
                <w:szCs w:val="24"/>
              </w:rPr>
            </w:pPr>
            <w:r w:rsidRPr="00CC62FC">
              <w:rPr>
                <w:rFonts w:cs="Arial"/>
                <w:szCs w:val="24"/>
              </w:rPr>
              <w:t>1</w:t>
            </w:r>
          </w:p>
        </w:tc>
        <w:tc>
          <w:tcPr>
            <w:tcW w:w="1275" w:type="dxa"/>
          </w:tcPr>
          <w:p w14:paraId="230DC8F4" w14:textId="77777777" w:rsidR="00A934DC" w:rsidRPr="00CC62FC" w:rsidRDefault="00A934DC" w:rsidP="00663BBC">
            <w:pPr>
              <w:rPr>
                <w:rFonts w:cs="Arial"/>
                <w:szCs w:val="24"/>
              </w:rPr>
            </w:pPr>
          </w:p>
        </w:tc>
        <w:tc>
          <w:tcPr>
            <w:tcW w:w="1083" w:type="dxa"/>
          </w:tcPr>
          <w:p w14:paraId="62E30F42" w14:textId="77777777" w:rsidR="00A934DC" w:rsidRPr="00CC62FC" w:rsidRDefault="00A934DC" w:rsidP="00663BBC">
            <w:pPr>
              <w:rPr>
                <w:rFonts w:cs="Arial"/>
                <w:szCs w:val="24"/>
              </w:rPr>
            </w:pPr>
            <w:r w:rsidRPr="00CC62FC">
              <w:rPr>
                <w:rFonts w:cs="Arial"/>
                <w:szCs w:val="24"/>
              </w:rPr>
              <w:t>3</w:t>
            </w:r>
          </w:p>
        </w:tc>
      </w:tr>
      <w:tr w:rsidR="00A934DC" w:rsidRPr="00CC62FC" w14:paraId="5E229ACD" w14:textId="77777777" w:rsidTr="00663BBC">
        <w:tc>
          <w:tcPr>
            <w:tcW w:w="4475" w:type="dxa"/>
          </w:tcPr>
          <w:p w14:paraId="49B41526" w14:textId="77777777" w:rsidR="00A934DC" w:rsidRPr="00CC62FC" w:rsidRDefault="00A934DC" w:rsidP="00663BBC">
            <w:pPr>
              <w:rPr>
                <w:rFonts w:cs="Arial"/>
                <w:szCs w:val="24"/>
              </w:rPr>
            </w:pPr>
            <w:r w:rsidRPr="00CC62FC">
              <w:rPr>
                <w:rFonts w:cs="Arial"/>
                <w:szCs w:val="24"/>
              </w:rPr>
              <w:t>Student societies</w:t>
            </w:r>
          </w:p>
        </w:tc>
        <w:tc>
          <w:tcPr>
            <w:tcW w:w="931" w:type="dxa"/>
          </w:tcPr>
          <w:p w14:paraId="1C9C3749" w14:textId="77777777" w:rsidR="00A934DC" w:rsidRPr="00CC62FC" w:rsidRDefault="00A934DC" w:rsidP="00663BBC">
            <w:pPr>
              <w:rPr>
                <w:rFonts w:cs="Arial"/>
                <w:szCs w:val="24"/>
              </w:rPr>
            </w:pPr>
          </w:p>
        </w:tc>
        <w:tc>
          <w:tcPr>
            <w:tcW w:w="1252" w:type="dxa"/>
          </w:tcPr>
          <w:p w14:paraId="3001B540" w14:textId="77777777" w:rsidR="00A934DC" w:rsidRPr="00CC62FC" w:rsidRDefault="00A934DC" w:rsidP="00663BBC">
            <w:pPr>
              <w:rPr>
                <w:rFonts w:cs="Arial"/>
                <w:szCs w:val="24"/>
              </w:rPr>
            </w:pPr>
            <w:r w:rsidRPr="00CC62FC">
              <w:rPr>
                <w:rFonts w:cs="Arial"/>
                <w:szCs w:val="24"/>
              </w:rPr>
              <w:t>3</w:t>
            </w:r>
          </w:p>
        </w:tc>
        <w:tc>
          <w:tcPr>
            <w:tcW w:w="1275" w:type="dxa"/>
          </w:tcPr>
          <w:p w14:paraId="4C9327E6" w14:textId="77777777" w:rsidR="00A934DC" w:rsidRPr="00CC62FC" w:rsidRDefault="00A934DC" w:rsidP="00663BBC">
            <w:pPr>
              <w:rPr>
                <w:rFonts w:cs="Arial"/>
                <w:szCs w:val="24"/>
              </w:rPr>
            </w:pPr>
          </w:p>
        </w:tc>
        <w:tc>
          <w:tcPr>
            <w:tcW w:w="1083" w:type="dxa"/>
          </w:tcPr>
          <w:p w14:paraId="446E7F9E" w14:textId="77777777" w:rsidR="00A934DC" w:rsidRPr="00CC62FC" w:rsidRDefault="00A934DC" w:rsidP="00663BBC">
            <w:pPr>
              <w:rPr>
                <w:rFonts w:cs="Arial"/>
                <w:szCs w:val="24"/>
              </w:rPr>
            </w:pPr>
            <w:r w:rsidRPr="00CC62FC">
              <w:rPr>
                <w:rFonts w:cs="Arial"/>
                <w:szCs w:val="24"/>
              </w:rPr>
              <w:t>3</w:t>
            </w:r>
          </w:p>
        </w:tc>
      </w:tr>
      <w:tr w:rsidR="00A934DC" w:rsidRPr="00CC62FC" w14:paraId="0DD1E897" w14:textId="77777777" w:rsidTr="00663BBC">
        <w:tc>
          <w:tcPr>
            <w:tcW w:w="4475" w:type="dxa"/>
          </w:tcPr>
          <w:p w14:paraId="70999278" w14:textId="77777777" w:rsidR="00A934DC" w:rsidRPr="00CC62FC" w:rsidRDefault="00A934DC" w:rsidP="00663BBC">
            <w:pPr>
              <w:rPr>
                <w:rFonts w:cs="Arial"/>
                <w:i/>
                <w:iCs/>
                <w:szCs w:val="24"/>
              </w:rPr>
            </w:pPr>
            <w:r w:rsidRPr="00CC62FC">
              <w:rPr>
                <w:rFonts w:cs="Arial"/>
                <w:i/>
                <w:iCs/>
                <w:szCs w:val="24"/>
              </w:rPr>
              <w:t xml:space="preserve">     Trans inclusion</w:t>
            </w:r>
          </w:p>
        </w:tc>
        <w:tc>
          <w:tcPr>
            <w:tcW w:w="931" w:type="dxa"/>
          </w:tcPr>
          <w:p w14:paraId="4E950A4B" w14:textId="77777777" w:rsidR="00A934DC" w:rsidRPr="00CC62FC" w:rsidRDefault="00A934DC" w:rsidP="00663BBC">
            <w:pPr>
              <w:rPr>
                <w:rFonts w:cs="Arial"/>
                <w:i/>
                <w:iCs/>
                <w:szCs w:val="24"/>
              </w:rPr>
            </w:pPr>
          </w:p>
        </w:tc>
        <w:tc>
          <w:tcPr>
            <w:tcW w:w="1252" w:type="dxa"/>
          </w:tcPr>
          <w:p w14:paraId="46B8AD19" w14:textId="77777777" w:rsidR="00A934DC" w:rsidRPr="00CC62FC" w:rsidRDefault="00A934DC" w:rsidP="00663BBC">
            <w:pPr>
              <w:rPr>
                <w:rFonts w:cs="Arial"/>
                <w:i/>
                <w:iCs/>
                <w:szCs w:val="24"/>
              </w:rPr>
            </w:pPr>
            <w:r w:rsidRPr="00CC62FC">
              <w:rPr>
                <w:rFonts w:cs="Arial"/>
                <w:i/>
                <w:iCs/>
                <w:szCs w:val="24"/>
              </w:rPr>
              <w:t>2</w:t>
            </w:r>
          </w:p>
        </w:tc>
        <w:tc>
          <w:tcPr>
            <w:tcW w:w="1275" w:type="dxa"/>
          </w:tcPr>
          <w:p w14:paraId="35D5675B" w14:textId="77777777" w:rsidR="00A934DC" w:rsidRPr="00CC62FC" w:rsidRDefault="00A934DC" w:rsidP="00663BBC">
            <w:pPr>
              <w:rPr>
                <w:rFonts w:cs="Arial"/>
                <w:i/>
                <w:iCs/>
                <w:szCs w:val="24"/>
              </w:rPr>
            </w:pPr>
          </w:p>
        </w:tc>
        <w:tc>
          <w:tcPr>
            <w:tcW w:w="1083" w:type="dxa"/>
          </w:tcPr>
          <w:p w14:paraId="56EAEEA4" w14:textId="77777777" w:rsidR="00A934DC" w:rsidRPr="00CC62FC" w:rsidRDefault="00A934DC" w:rsidP="00663BBC">
            <w:pPr>
              <w:rPr>
                <w:rFonts w:cs="Arial"/>
                <w:i/>
                <w:iCs/>
                <w:szCs w:val="24"/>
              </w:rPr>
            </w:pPr>
            <w:r w:rsidRPr="00CC62FC">
              <w:rPr>
                <w:rFonts w:cs="Arial"/>
                <w:i/>
                <w:iCs/>
                <w:szCs w:val="24"/>
              </w:rPr>
              <w:t>2</w:t>
            </w:r>
          </w:p>
        </w:tc>
      </w:tr>
      <w:tr w:rsidR="00A934DC" w:rsidRPr="00CC62FC" w14:paraId="2547F85B" w14:textId="77777777" w:rsidTr="00663BBC">
        <w:tc>
          <w:tcPr>
            <w:tcW w:w="4475" w:type="dxa"/>
          </w:tcPr>
          <w:p w14:paraId="48D4A89F" w14:textId="77777777" w:rsidR="00A934DC" w:rsidRPr="00CC62FC" w:rsidRDefault="00A934DC" w:rsidP="00663BBC">
            <w:pPr>
              <w:rPr>
                <w:rFonts w:cs="Arial"/>
                <w:i/>
                <w:iCs/>
                <w:szCs w:val="24"/>
              </w:rPr>
            </w:pPr>
            <w:r w:rsidRPr="00CC62FC">
              <w:rPr>
                <w:rFonts w:cs="Arial"/>
                <w:i/>
                <w:iCs/>
                <w:szCs w:val="24"/>
              </w:rPr>
              <w:t xml:space="preserve">     Non-binary inclusion</w:t>
            </w:r>
          </w:p>
        </w:tc>
        <w:tc>
          <w:tcPr>
            <w:tcW w:w="931" w:type="dxa"/>
          </w:tcPr>
          <w:p w14:paraId="2155A558" w14:textId="77777777" w:rsidR="00A934DC" w:rsidRPr="00CC62FC" w:rsidRDefault="00A934DC" w:rsidP="00663BBC">
            <w:pPr>
              <w:rPr>
                <w:rFonts w:cs="Arial"/>
                <w:i/>
                <w:iCs/>
                <w:szCs w:val="24"/>
              </w:rPr>
            </w:pPr>
          </w:p>
        </w:tc>
        <w:tc>
          <w:tcPr>
            <w:tcW w:w="1252" w:type="dxa"/>
          </w:tcPr>
          <w:p w14:paraId="6DB4E2AE" w14:textId="77777777" w:rsidR="00A934DC" w:rsidRPr="00CC62FC" w:rsidRDefault="00A934DC" w:rsidP="00663BBC">
            <w:pPr>
              <w:rPr>
                <w:rFonts w:cs="Arial"/>
                <w:i/>
                <w:iCs/>
                <w:szCs w:val="24"/>
              </w:rPr>
            </w:pPr>
            <w:r w:rsidRPr="00CC62FC">
              <w:rPr>
                <w:rFonts w:cs="Arial"/>
                <w:i/>
                <w:iCs/>
                <w:szCs w:val="24"/>
              </w:rPr>
              <w:t>1</w:t>
            </w:r>
          </w:p>
        </w:tc>
        <w:tc>
          <w:tcPr>
            <w:tcW w:w="1275" w:type="dxa"/>
          </w:tcPr>
          <w:p w14:paraId="4F691283" w14:textId="77777777" w:rsidR="00A934DC" w:rsidRPr="00CC62FC" w:rsidRDefault="00A934DC" w:rsidP="00663BBC">
            <w:pPr>
              <w:rPr>
                <w:rFonts w:cs="Arial"/>
                <w:i/>
                <w:iCs/>
                <w:szCs w:val="24"/>
              </w:rPr>
            </w:pPr>
          </w:p>
        </w:tc>
        <w:tc>
          <w:tcPr>
            <w:tcW w:w="1083" w:type="dxa"/>
          </w:tcPr>
          <w:p w14:paraId="0CF81B9C" w14:textId="77777777" w:rsidR="00A934DC" w:rsidRPr="00CC62FC" w:rsidRDefault="00A934DC" w:rsidP="00663BBC">
            <w:pPr>
              <w:rPr>
                <w:rFonts w:cs="Arial"/>
                <w:i/>
                <w:iCs/>
                <w:szCs w:val="24"/>
              </w:rPr>
            </w:pPr>
            <w:r w:rsidRPr="00CC62FC">
              <w:rPr>
                <w:rFonts w:cs="Arial"/>
                <w:i/>
                <w:iCs/>
                <w:szCs w:val="24"/>
              </w:rPr>
              <w:t>1</w:t>
            </w:r>
          </w:p>
        </w:tc>
      </w:tr>
      <w:tr w:rsidR="00A934DC" w:rsidRPr="00CC62FC" w14:paraId="131582AC" w14:textId="77777777" w:rsidTr="00663BBC">
        <w:tc>
          <w:tcPr>
            <w:tcW w:w="4475" w:type="dxa"/>
          </w:tcPr>
          <w:p w14:paraId="550F75E0" w14:textId="77777777" w:rsidR="00A934DC" w:rsidRPr="00CC62FC" w:rsidRDefault="00A934DC" w:rsidP="00663BBC">
            <w:pPr>
              <w:rPr>
                <w:rFonts w:cs="Arial"/>
                <w:szCs w:val="24"/>
              </w:rPr>
            </w:pPr>
            <w:r w:rsidRPr="00CC62FC">
              <w:rPr>
                <w:rFonts w:cs="Arial"/>
                <w:szCs w:val="24"/>
              </w:rPr>
              <w:t>Avoiding forced disclosure</w:t>
            </w:r>
          </w:p>
        </w:tc>
        <w:tc>
          <w:tcPr>
            <w:tcW w:w="931" w:type="dxa"/>
          </w:tcPr>
          <w:p w14:paraId="4D2A02C4" w14:textId="77777777" w:rsidR="00A934DC" w:rsidRPr="00CC62FC" w:rsidRDefault="00A934DC" w:rsidP="00663BBC">
            <w:pPr>
              <w:rPr>
                <w:rFonts w:cs="Arial"/>
                <w:szCs w:val="24"/>
              </w:rPr>
            </w:pPr>
          </w:p>
        </w:tc>
        <w:tc>
          <w:tcPr>
            <w:tcW w:w="1252" w:type="dxa"/>
          </w:tcPr>
          <w:p w14:paraId="5FB904B9" w14:textId="77777777" w:rsidR="00A934DC" w:rsidRPr="00CC62FC" w:rsidRDefault="00A934DC" w:rsidP="00663BBC">
            <w:pPr>
              <w:rPr>
                <w:rFonts w:cs="Arial"/>
                <w:szCs w:val="24"/>
              </w:rPr>
            </w:pPr>
            <w:r w:rsidRPr="00CC62FC">
              <w:rPr>
                <w:rFonts w:cs="Arial"/>
                <w:szCs w:val="24"/>
              </w:rPr>
              <w:t>3</w:t>
            </w:r>
          </w:p>
        </w:tc>
        <w:tc>
          <w:tcPr>
            <w:tcW w:w="1275" w:type="dxa"/>
          </w:tcPr>
          <w:p w14:paraId="57F72025" w14:textId="77777777" w:rsidR="00A934DC" w:rsidRPr="00CC62FC" w:rsidRDefault="00A934DC" w:rsidP="00663BBC">
            <w:pPr>
              <w:rPr>
                <w:rFonts w:cs="Arial"/>
                <w:szCs w:val="24"/>
              </w:rPr>
            </w:pPr>
          </w:p>
        </w:tc>
        <w:tc>
          <w:tcPr>
            <w:tcW w:w="1083" w:type="dxa"/>
          </w:tcPr>
          <w:p w14:paraId="3E991DB5" w14:textId="77777777" w:rsidR="00A934DC" w:rsidRPr="00CC62FC" w:rsidRDefault="00A934DC" w:rsidP="00663BBC">
            <w:pPr>
              <w:rPr>
                <w:rFonts w:cs="Arial"/>
                <w:szCs w:val="24"/>
              </w:rPr>
            </w:pPr>
            <w:r w:rsidRPr="00CC62FC">
              <w:rPr>
                <w:rFonts w:cs="Arial"/>
                <w:szCs w:val="24"/>
              </w:rPr>
              <w:t>3</w:t>
            </w:r>
          </w:p>
        </w:tc>
      </w:tr>
      <w:tr w:rsidR="00A934DC" w:rsidRPr="00CC62FC" w14:paraId="7715093E" w14:textId="77777777" w:rsidTr="00663BBC">
        <w:tc>
          <w:tcPr>
            <w:tcW w:w="4475" w:type="dxa"/>
          </w:tcPr>
          <w:p w14:paraId="3B42B2C3" w14:textId="77777777" w:rsidR="00A934DC" w:rsidRPr="00CC62FC" w:rsidRDefault="00A934DC" w:rsidP="00663BBC">
            <w:pPr>
              <w:rPr>
                <w:rFonts w:cs="Arial"/>
                <w:szCs w:val="24"/>
              </w:rPr>
            </w:pPr>
            <w:r w:rsidRPr="00CC62FC">
              <w:rPr>
                <w:rFonts w:cs="Arial"/>
                <w:szCs w:val="24"/>
              </w:rPr>
              <w:t>Training for staff</w:t>
            </w:r>
          </w:p>
        </w:tc>
        <w:tc>
          <w:tcPr>
            <w:tcW w:w="931" w:type="dxa"/>
          </w:tcPr>
          <w:p w14:paraId="08D0B81D" w14:textId="77777777" w:rsidR="00A934DC" w:rsidRPr="00CC62FC" w:rsidRDefault="00A934DC" w:rsidP="00663BBC">
            <w:pPr>
              <w:rPr>
                <w:rFonts w:cs="Arial"/>
                <w:szCs w:val="24"/>
              </w:rPr>
            </w:pPr>
            <w:r w:rsidRPr="00CC62FC">
              <w:rPr>
                <w:rFonts w:cs="Arial"/>
                <w:szCs w:val="24"/>
              </w:rPr>
              <w:t>2</w:t>
            </w:r>
          </w:p>
        </w:tc>
        <w:tc>
          <w:tcPr>
            <w:tcW w:w="1252" w:type="dxa"/>
          </w:tcPr>
          <w:p w14:paraId="4A33D8C5" w14:textId="77777777" w:rsidR="00A934DC" w:rsidRPr="00CC62FC" w:rsidRDefault="00A934DC" w:rsidP="00663BBC">
            <w:pPr>
              <w:rPr>
                <w:rFonts w:cs="Arial"/>
                <w:szCs w:val="24"/>
              </w:rPr>
            </w:pPr>
            <w:r w:rsidRPr="00CC62FC">
              <w:rPr>
                <w:rFonts w:cs="Arial"/>
                <w:szCs w:val="24"/>
              </w:rPr>
              <w:t>1</w:t>
            </w:r>
          </w:p>
        </w:tc>
        <w:tc>
          <w:tcPr>
            <w:tcW w:w="1275" w:type="dxa"/>
          </w:tcPr>
          <w:p w14:paraId="420FEC29" w14:textId="77777777" w:rsidR="00A934DC" w:rsidRPr="00CC62FC" w:rsidRDefault="00A934DC" w:rsidP="00663BBC">
            <w:pPr>
              <w:rPr>
                <w:rFonts w:cs="Arial"/>
                <w:szCs w:val="24"/>
              </w:rPr>
            </w:pPr>
          </w:p>
        </w:tc>
        <w:tc>
          <w:tcPr>
            <w:tcW w:w="1083" w:type="dxa"/>
          </w:tcPr>
          <w:p w14:paraId="77E3BEA0" w14:textId="77777777" w:rsidR="00A934DC" w:rsidRPr="00CC62FC" w:rsidRDefault="00A934DC" w:rsidP="00663BBC">
            <w:pPr>
              <w:rPr>
                <w:rFonts w:cs="Arial"/>
                <w:szCs w:val="24"/>
              </w:rPr>
            </w:pPr>
            <w:r w:rsidRPr="00CC62FC">
              <w:rPr>
                <w:rFonts w:cs="Arial"/>
                <w:szCs w:val="24"/>
              </w:rPr>
              <w:t>3</w:t>
            </w:r>
          </w:p>
        </w:tc>
      </w:tr>
      <w:tr w:rsidR="00A934DC" w:rsidRPr="00CC62FC" w14:paraId="386DBA1B" w14:textId="77777777" w:rsidTr="00663BBC">
        <w:tc>
          <w:tcPr>
            <w:tcW w:w="4475" w:type="dxa"/>
          </w:tcPr>
          <w:p w14:paraId="7D1078F2" w14:textId="77777777" w:rsidR="00A934DC" w:rsidRPr="00CC62FC" w:rsidRDefault="00A934DC" w:rsidP="00663BBC">
            <w:pPr>
              <w:rPr>
                <w:rFonts w:cs="Arial"/>
                <w:szCs w:val="24"/>
              </w:rPr>
            </w:pPr>
            <w:r w:rsidRPr="00CC62FC">
              <w:rPr>
                <w:rFonts w:cs="Arial"/>
                <w:szCs w:val="24"/>
              </w:rPr>
              <w:t>University medical services</w:t>
            </w:r>
          </w:p>
        </w:tc>
        <w:tc>
          <w:tcPr>
            <w:tcW w:w="931" w:type="dxa"/>
          </w:tcPr>
          <w:p w14:paraId="7BFCCBA1" w14:textId="77777777" w:rsidR="00A934DC" w:rsidRPr="00CC62FC" w:rsidRDefault="00A934DC" w:rsidP="00663BBC">
            <w:pPr>
              <w:rPr>
                <w:rFonts w:cs="Arial"/>
                <w:szCs w:val="24"/>
              </w:rPr>
            </w:pPr>
          </w:p>
        </w:tc>
        <w:tc>
          <w:tcPr>
            <w:tcW w:w="1252" w:type="dxa"/>
          </w:tcPr>
          <w:p w14:paraId="2C1CD919" w14:textId="77777777" w:rsidR="00A934DC" w:rsidRPr="00CC62FC" w:rsidRDefault="00A934DC" w:rsidP="00663BBC">
            <w:pPr>
              <w:rPr>
                <w:rFonts w:cs="Arial"/>
                <w:szCs w:val="24"/>
              </w:rPr>
            </w:pPr>
            <w:r w:rsidRPr="00CC62FC">
              <w:rPr>
                <w:rFonts w:cs="Arial"/>
                <w:szCs w:val="24"/>
              </w:rPr>
              <w:t>2</w:t>
            </w:r>
          </w:p>
        </w:tc>
        <w:tc>
          <w:tcPr>
            <w:tcW w:w="1275" w:type="dxa"/>
          </w:tcPr>
          <w:p w14:paraId="69C1666D" w14:textId="77777777" w:rsidR="00A934DC" w:rsidRPr="00CC62FC" w:rsidRDefault="00A934DC" w:rsidP="00663BBC">
            <w:pPr>
              <w:rPr>
                <w:rFonts w:cs="Arial"/>
                <w:szCs w:val="24"/>
              </w:rPr>
            </w:pPr>
          </w:p>
        </w:tc>
        <w:tc>
          <w:tcPr>
            <w:tcW w:w="1083" w:type="dxa"/>
          </w:tcPr>
          <w:p w14:paraId="3B835557" w14:textId="77777777" w:rsidR="00A934DC" w:rsidRPr="00CC62FC" w:rsidRDefault="00A934DC" w:rsidP="00663BBC">
            <w:pPr>
              <w:rPr>
                <w:rFonts w:cs="Arial"/>
                <w:szCs w:val="24"/>
              </w:rPr>
            </w:pPr>
            <w:r w:rsidRPr="00CC62FC">
              <w:rPr>
                <w:rFonts w:cs="Arial"/>
                <w:szCs w:val="24"/>
              </w:rPr>
              <w:t>2</w:t>
            </w:r>
          </w:p>
        </w:tc>
      </w:tr>
      <w:tr w:rsidR="00A934DC" w:rsidRPr="00CC62FC" w14:paraId="6C324210" w14:textId="77777777" w:rsidTr="00663BBC">
        <w:tc>
          <w:tcPr>
            <w:tcW w:w="4475" w:type="dxa"/>
          </w:tcPr>
          <w:p w14:paraId="64896CEE" w14:textId="77777777" w:rsidR="00A934DC" w:rsidRPr="00CC62FC" w:rsidRDefault="00A934DC" w:rsidP="00663BBC">
            <w:pPr>
              <w:rPr>
                <w:rFonts w:cs="Arial"/>
                <w:szCs w:val="24"/>
              </w:rPr>
            </w:pPr>
            <w:r w:rsidRPr="00CC62FC">
              <w:rPr>
                <w:rFonts w:cs="Arial"/>
                <w:szCs w:val="24"/>
              </w:rPr>
              <w:t>Harassment by students</w:t>
            </w:r>
          </w:p>
        </w:tc>
        <w:tc>
          <w:tcPr>
            <w:tcW w:w="931" w:type="dxa"/>
          </w:tcPr>
          <w:p w14:paraId="0724DF79" w14:textId="77777777" w:rsidR="00A934DC" w:rsidRPr="00CC62FC" w:rsidRDefault="00A934DC" w:rsidP="00663BBC">
            <w:pPr>
              <w:rPr>
                <w:rFonts w:cs="Arial"/>
                <w:szCs w:val="24"/>
              </w:rPr>
            </w:pPr>
          </w:p>
        </w:tc>
        <w:tc>
          <w:tcPr>
            <w:tcW w:w="1252" w:type="dxa"/>
          </w:tcPr>
          <w:p w14:paraId="2C9DE5D9" w14:textId="77777777" w:rsidR="00A934DC" w:rsidRPr="00CC62FC" w:rsidRDefault="00A934DC" w:rsidP="00663BBC">
            <w:pPr>
              <w:rPr>
                <w:rFonts w:cs="Arial"/>
                <w:szCs w:val="24"/>
              </w:rPr>
            </w:pPr>
            <w:r w:rsidRPr="00CC62FC">
              <w:rPr>
                <w:rFonts w:cs="Arial"/>
                <w:szCs w:val="24"/>
              </w:rPr>
              <w:t>2</w:t>
            </w:r>
          </w:p>
        </w:tc>
        <w:tc>
          <w:tcPr>
            <w:tcW w:w="1275" w:type="dxa"/>
          </w:tcPr>
          <w:p w14:paraId="408774D9" w14:textId="77777777" w:rsidR="00A934DC" w:rsidRPr="00CC62FC" w:rsidRDefault="00A934DC" w:rsidP="00663BBC">
            <w:pPr>
              <w:rPr>
                <w:rFonts w:cs="Arial"/>
                <w:szCs w:val="24"/>
              </w:rPr>
            </w:pPr>
          </w:p>
        </w:tc>
        <w:tc>
          <w:tcPr>
            <w:tcW w:w="1083" w:type="dxa"/>
          </w:tcPr>
          <w:p w14:paraId="279A7975" w14:textId="77777777" w:rsidR="00A934DC" w:rsidRPr="00CC62FC" w:rsidRDefault="00A934DC" w:rsidP="00663BBC">
            <w:pPr>
              <w:rPr>
                <w:rFonts w:cs="Arial"/>
                <w:szCs w:val="24"/>
              </w:rPr>
            </w:pPr>
            <w:r w:rsidRPr="00CC62FC">
              <w:rPr>
                <w:rFonts w:cs="Arial"/>
                <w:szCs w:val="24"/>
              </w:rPr>
              <w:t>2</w:t>
            </w:r>
          </w:p>
        </w:tc>
      </w:tr>
      <w:tr w:rsidR="00A934DC" w:rsidRPr="00CC62FC" w14:paraId="28D179E2" w14:textId="77777777" w:rsidTr="00663BBC">
        <w:tc>
          <w:tcPr>
            <w:tcW w:w="4475" w:type="dxa"/>
          </w:tcPr>
          <w:p w14:paraId="5F1D415E" w14:textId="77777777" w:rsidR="00A934DC" w:rsidRPr="00CC62FC" w:rsidRDefault="00A934DC" w:rsidP="00663BBC">
            <w:pPr>
              <w:rPr>
                <w:rFonts w:cs="Arial"/>
                <w:szCs w:val="24"/>
              </w:rPr>
            </w:pPr>
            <w:r w:rsidRPr="00CC62FC">
              <w:rPr>
                <w:rFonts w:cs="Arial"/>
                <w:szCs w:val="24"/>
              </w:rPr>
              <w:t>Harassment by staff</w:t>
            </w:r>
          </w:p>
        </w:tc>
        <w:tc>
          <w:tcPr>
            <w:tcW w:w="931" w:type="dxa"/>
          </w:tcPr>
          <w:p w14:paraId="0061A02C" w14:textId="77777777" w:rsidR="00A934DC" w:rsidRPr="00CC62FC" w:rsidRDefault="00A934DC" w:rsidP="00663BBC">
            <w:pPr>
              <w:rPr>
                <w:rFonts w:cs="Arial"/>
                <w:szCs w:val="24"/>
              </w:rPr>
            </w:pPr>
          </w:p>
        </w:tc>
        <w:tc>
          <w:tcPr>
            <w:tcW w:w="1252" w:type="dxa"/>
          </w:tcPr>
          <w:p w14:paraId="3C4A767A" w14:textId="77777777" w:rsidR="00A934DC" w:rsidRPr="00CC62FC" w:rsidRDefault="00A934DC" w:rsidP="00663BBC">
            <w:pPr>
              <w:rPr>
                <w:rFonts w:cs="Arial"/>
                <w:szCs w:val="24"/>
              </w:rPr>
            </w:pPr>
            <w:r w:rsidRPr="00CC62FC">
              <w:rPr>
                <w:rFonts w:cs="Arial"/>
                <w:szCs w:val="24"/>
              </w:rPr>
              <w:t>2</w:t>
            </w:r>
          </w:p>
        </w:tc>
        <w:tc>
          <w:tcPr>
            <w:tcW w:w="1275" w:type="dxa"/>
          </w:tcPr>
          <w:p w14:paraId="0FAFEC88" w14:textId="77777777" w:rsidR="00A934DC" w:rsidRPr="00CC62FC" w:rsidRDefault="00A934DC" w:rsidP="00663BBC">
            <w:pPr>
              <w:rPr>
                <w:rFonts w:cs="Arial"/>
                <w:szCs w:val="24"/>
              </w:rPr>
            </w:pPr>
          </w:p>
        </w:tc>
        <w:tc>
          <w:tcPr>
            <w:tcW w:w="1083" w:type="dxa"/>
          </w:tcPr>
          <w:p w14:paraId="6B11E6D5" w14:textId="77777777" w:rsidR="00A934DC" w:rsidRPr="00CC62FC" w:rsidRDefault="00A934DC" w:rsidP="00663BBC">
            <w:pPr>
              <w:rPr>
                <w:rFonts w:cs="Arial"/>
                <w:szCs w:val="24"/>
              </w:rPr>
            </w:pPr>
            <w:r w:rsidRPr="00CC62FC">
              <w:rPr>
                <w:rFonts w:cs="Arial"/>
                <w:szCs w:val="24"/>
              </w:rPr>
              <w:t>2</w:t>
            </w:r>
          </w:p>
        </w:tc>
      </w:tr>
      <w:tr w:rsidR="00A934DC" w:rsidRPr="00CC62FC" w14:paraId="76333B51" w14:textId="77777777" w:rsidTr="00663BBC">
        <w:tc>
          <w:tcPr>
            <w:tcW w:w="4475" w:type="dxa"/>
          </w:tcPr>
          <w:p w14:paraId="073D9A5D" w14:textId="77777777" w:rsidR="00A934DC" w:rsidRPr="00CC62FC" w:rsidRDefault="00A934DC" w:rsidP="00663BBC">
            <w:pPr>
              <w:rPr>
                <w:rFonts w:cs="Arial"/>
                <w:szCs w:val="24"/>
              </w:rPr>
            </w:pPr>
            <w:r w:rsidRPr="00CC62FC">
              <w:rPr>
                <w:rFonts w:cs="Arial"/>
                <w:szCs w:val="24"/>
              </w:rPr>
              <w:t>Residential activities</w:t>
            </w:r>
          </w:p>
        </w:tc>
        <w:tc>
          <w:tcPr>
            <w:tcW w:w="931" w:type="dxa"/>
          </w:tcPr>
          <w:p w14:paraId="61578B4B" w14:textId="77777777" w:rsidR="00A934DC" w:rsidRPr="00CC62FC" w:rsidRDefault="00A934DC" w:rsidP="00663BBC">
            <w:pPr>
              <w:rPr>
                <w:rFonts w:cs="Arial"/>
                <w:szCs w:val="24"/>
              </w:rPr>
            </w:pPr>
          </w:p>
        </w:tc>
        <w:tc>
          <w:tcPr>
            <w:tcW w:w="1252" w:type="dxa"/>
          </w:tcPr>
          <w:p w14:paraId="7687AE36" w14:textId="77777777" w:rsidR="00A934DC" w:rsidRPr="00CC62FC" w:rsidRDefault="00A934DC" w:rsidP="00663BBC">
            <w:pPr>
              <w:rPr>
                <w:rFonts w:cs="Arial"/>
                <w:szCs w:val="24"/>
              </w:rPr>
            </w:pPr>
            <w:r w:rsidRPr="00CC62FC">
              <w:rPr>
                <w:rFonts w:cs="Arial"/>
                <w:szCs w:val="24"/>
              </w:rPr>
              <w:t>1</w:t>
            </w:r>
          </w:p>
        </w:tc>
        <w:tc>
          <w:tcPr>
            <w:tcW w:w="1275" w:type="dxa"/>
          </w:tcPr>
          <w:p w14:paraId="4E333205" w14:textId="77777777" w:rsidR="00A934DC" w:rsidRPr="00CC62FC" w:rsidRDefault="00A934DC" w:rsidP="00663BBC">
            <w:pPr>
              <w:rPr>
                <w:rFonts w:cs="Arial"/>
                <w:szCs w:val="24"/>
              </w:rPr>
            </w:pPr>
            <w:r w:rsidRPr="00CC62FC">
              <w:rPr>
                <w:rFonts w:cs="Arial"/>
                <w:szCs w:val="24"/>
              </w:rPr>
              <w:t>1</w:t>
            </w:r>
          </w:p>
        </w:tc>
        <w:tc>
          <w:tcPr>
            <w:tcW w:w="1083" w:type="dxa"/>
          </w:tcPr>
          <w:p w14:paraId="1D12D2F1" w14:textId="77777777" w:rsidR="00A934DC" w:rsidRPr="00CC62FC" w:rsidRDefault="00A934DC" w:rsidP="00663BBC">
            <w:pPr>
              <w:rPr>
                <w:rFonts w:cs="Arial"/>
                <w:szCs w:val="24"/>
              </w:rPr>
            </w:pPr>
            <w:r w:rsidRPr="00CC62FC">
              <w:rPr>
                <w:rFonts w:cs="Arial"/>
                <w:szCs w:val="24"/>
              </w:rPr>
              <w:t>2</w:t>
            </w:r>
          </w:p>
        </w:tc>
      </w:tr>
      <w:tr w:rsidR="00A934DC" w:rsidRPr="00CC62FC" w14:paraId="19F9B5DF" w14:textId="77777777" w:rsidTr="00663BBC">
        <w:tc>
          <w:tcPr>
            <w:tcW w:w="4475" w:type="dxa"/>
          </w:tcPr>
          <w:p w14:paraId="2677957A" w14:textId="77777777" w:rsidR="00A934DC" w:rsidRPr="00CC62FC" w:rsidRDefault="00A934DC" w:rsidP="00663BBC">
            <w:pPr>
              <w:rPr>
                <w:rFonts w:cs="Arial"/>
                <w:szCs w:val="24"/>
              </w:rPr>
            </w:pPr>
            <w:r w:rsidRPr="00CC62FC">
              <w:rPr>
                <w:rFonts w:cs="Arial"/>
                <w:szCs w:val="24"/>
              </w:rPr>
              <w:t>Not treating trans/non-binary as curiosity</w:t>
            </w:r>
          </w:p>
        </w:tc>
        <w:tc>
          <w:tcPr>
            <w:tcW w:w="931" w:type="dxa"/>
          </w:tcPr>
          <w:p w14:paraId="54AE3752" w14:textId="77777777" w:rsidR="00A934DC" w:rsidRPr="00CC62FC" w:rsidRDefault="00A934DC" w:rsidP="00663BBC">
            <w:pPr>
              <w:rPr>
                <w:rFonts w:cs="Arial"/>
                <w:szCs w:val="24"/>
              </w:rPr>
            </w:pPr>
          </w:p>
        </w:tc>
        <w:tc>
          <w:tcPr>
            <w:tcW w:w="1252" w:type="dxa"/>
          </w:tcPr>
          <w:p w14:paraId="3A8D2200" w14:textId="77777777" w:rsidR="00A934DC" w:rsidRPr="00CC62FC" w:rsidRDefault="00A934DC" w:rsidP="00663BBC">
            <w:pPr>
              <w:rPr>
                <w:rFonts w:cs="Arial"/>
                <w:szCs w:val="24"/>
              </w:rPr>
            </w:pPr>
            <w:r w:rsidRPr="00CC62FC">
              <w:rPr>
                <w:rFonts w:cs="Arial"/>
                <w:szCs w:val="24"/>
              </w:rPr>
              <w:t>2</w:t>
            </w:r>
          </w:p>
        </w:tc>
        <w:tc>
          <w:tcPr>
            <w:tcW w:w="1275" w:type="dxa"/>
          </w:tcPr>
          <w:p w14:paraId="535E3257" w14:textId="77777777" w:rsidR="00A934DC" w:rsidRPr="00CC62FC" w:rsidRDefault="00A934DC" w:rsidP="00663BBC">
            <w:pPr>
              <w:rPr>
                <w:rFonts w:cs="Arial"/>
                <w:szCs w:val="24"/>
              </w:rPr>
            </w:pPr>
          </w:p>
        </w:tc>
        <w:tc>
          <w:tcPr>
            <w:tcW w:w="1083" w:type="dxa"/>
          </w:tcPr>
          <w:p w14:paraId="5FBE135D" w14:textId="77777777" w:rsidR="00A934DC" w:rsidRPr="00CC62FC" w:rsidRDefault="00A934DC" w:rsidP="00663BBC">
            <w:pPr>
              <w:rPr>
                <w:rFonts w:cs="Arial"/>
                <w:szCs w:val="24"/>
              </w:rPr>
            </w:pPr>
            <w:r w:rsidRPr="00CC62FC">
              <w:rPr>
                <w:rFonts w:cs="Arial"/>
                <w:szCs w:val="24"/>
              </w:rPr>
              <w:t>2</w:t>
            </w:r>
          </w:p>
        </w:tc>
      </w:tr>
      <w:tr w:rsidR="00A934DC" w:rsidRPr="00CC62FC" w14:paraId="7F83D2AE" w14:textId="77777777" w:rsidTr="00663BBC">
        <w:tc>
          <w:tcPr>
            <w:tcW w:w="4475" w:type="dxa"/>
          </w:tcPr>
          <w:p w14:paraId="1BC2F2BF" w14:textId="77777777" w:rsidR="00A934DC" w:rsidRPr="00CC62FC" w:rsidRDefault="00A934DC" w:rsidP="00663BBC">
            <w:pPr>
              <w:rPr>
                <w:rFonts w:cs="Arial"/>
                <w:szCs w:val="24"/>
              </w:rPr>
            </w:pPr>
            <w:r w:rsidRPr="00CC62FC">
              <w:rPr>
                <w:rFonts w:cs="Arial"/>
                <w:szCs w:val="24"/>
              </w:rPr>
              <w:t>Careers advice</w:t>
            </w:r>
          </w:p>
        </w:tc>
        <w:tc>
          <w:tcPr>
            <w:tcW w:w="931" w:type="dxa"/>
          </w:tcPr>
          <w:p w14:paraId="20E74ED9" w14:textId="77777777" w:rsidR="00A934DC" w:rsidRPr="00CC62FC" w:rsidRDefault="00A934DC" w:rsidP="00663BBC">
            <w:pPr>
              <w:rPr>
                <w:rFonts w:cs="Arial"/>
                <w:szCs w:val="24"/>
              </w:rPr>
            </w:pPr>
            <w:r w:rsidRPr="00CC62FC">
              <w:rPr>
                <w:rFonts w:cs="Arial"/>
                <w:szCs w:val="24"/>
              </w:rPr>
              <w:t>1</w:t>
            </w:r>
          </w:p>
        </w:tc>
        <w:tc>
          <w:tcPr>
            <w:tcW w:w="1252" w:type="dxa"/>
          </w:tcPr>
          <w:p w14:paraId="64C89CEB" w14:textId="77777777" w:rsidR="00A934DC" w:rsidRPr="00CC62FC" w:rsidRDefault="00A934DC" w:rsidP="00663BBC">
            <w:pPr>
              <w:rPr>
                <w:rFonts w:cs="Arial"/>
                <w:szCs w:val="24"/>
              </w:rPr>
            </w:pPr>
          </w:p>
        </w:tc>
        <w:tc>
          <w:tcPr>
            <w:tcW w:w="1275" w:type="dxa"/>
          </w:tcPr>
          <w:p w14:paraId="7F38C526" w14:textId="77777777" w:rsidR="00A934DC" w:rsidRPr="00CC62FC" w:rsidRDefault="00A934DC" w:rsidP="00663BBC">
            <w:pPr>
              <w:rPr>
                <w:rFonts w:cs="Arial"/>
                <w:szCs w:val="24"/>
              </w:rPr>
            </w:pPr>
          </w:p>
        </w:tc>
        <w:tc>
          <w:tcPr>
            <w:tcW w:w="1083" w:type="dxa"/>
          </w:tcPr>
          <w:p w14:paraId="3FF04495" w14:textId="77777777" w:rsidR="00A934DC" w:rsidRPr="00CC62FC" w:rsidRDefault="00A934DC" w:rsidP="00663BBC">
            <w:pPr>
              <w:rPr>
                <w:rFonts w:cs="Arial"/>
                <w:szCs w:val="24"/>
              </w:rPr>
            </w:pPr>
            <w:r w:rsidRPr="00CC62FC">
              <w:rPr>
                <w:rFonts w:cs="Arial"/>
                <w:szCs w:val="24"/>
              </w:rPr>
              <w:t>1</w:t>
            </w:r>
          </w:p>
        </w:tc>
      </w:tr>
      <w:tr w:rsidR="00A934DC" w:rsidRPr="00CC62FC" w14:paraId="492A78E5" w14:textId="77777777" w:rsidTr="00663BBC">
        <w:tc>
          <w:tcPr>
            <w:tcW w:w="4475" w:type="dxa"/>
          </w:tcPr>
          <w:p w14:paraId="7F365325" w14:textId="77777777" w:rsidR="00A934DC" w:rsidRPr="00CC62FC" w:rsidRDefault="00A934DC" w:rsidP="00663BBC">
            <w:pPr>
              <w:rPr>
                <w:rFonts w:cs="Arial"/>
                <w:szCs w:val="24"/>
              </w:rPr>
            </w:pPr>
            <w:r w:rsidRPr="00CC62FC">
              <w:rPr>
                <w:rFonts w:cs="Arial"/>
                <w:szCs w:val="24"/>
              </w:rPr>
              <w:t>Harassment reporting mechanisms</w:t>
            </w:r>
          </w:p>
        </w:tc>
        <w:tc>
          <w:tcPr>
            <w:tcW w:w="931" w:type="dxa"/>
          </w:tcPr>
          <w:p w14:paraId="6220AF0C" w14:textId="77777777" w:rsidR="00A934DC" w:rsidRPr="00CC62FC" w:rsidRDefault="00A934DC" w:rsidP="00663BBC">
            <w:pPr>
              <w:rPr>
                <w:rFonts w:cs="Arial"/>
                <w:szCs w:val="24"/>
              </w:rPr>
            </w:pPr>
          </w:p>
        </w:tc>
        <w:tc>
          <w:tcPr>
            <w:tcW w:w="1252" w:type="dxa"/>
          </w:tcPr>
          <w:p w14:paraId="1AE83BE6" w14:textId="77777777" w:rsidR="00A934DC" w:rsidRPr="00CC62FC" w:rsidRDefault="00A934DC" w:rsidP="00663BBC">
            <w:pPr>
              <w:rPr>
                <w:rFonts w:cs="Arial"/>
                <w:szCs w:val="24"/>
              </w:rPr>
            </w:pPr>
            <w:r w:rsidRPr="00CC62FC">
              <w:rPr>
                <w:rFonts w:cs="Arial"/>
                <w:szCs w:val="24"/>
              </w:rPr>
              <w:t>1</w:t>
            </w:r>
          </w:p>
        </w:tc>
        <w:tc>
          <w:tcPr>
            <w:tcW w:w="1275" w:type="dxa"/>
          </w:tcPr>
          <w:p w14:paraId="5A4EA68B" w14:textId="77777777" w:rsidR="00A934DC" w:rsidRPr="00CC62FC" w:rsidRDefault="00A934DC" w:rsidP="00663BBC">
            <w:pPr>
              <w:rPr>
                <w:rFonts w:cs="Arial"/>
                <w:szCs w:val="24"/>
              </w:rPr>
            </w:pPr>
          </w:p>
        </w:tc>
        <w:tc>
          <w:tcPr>
            <w:tcW w:w="1083" w:type="dxa"/>
          </w:tcPr>
          <w:p w14:paraId="165800FC" w14:textId="77777777" w:rsidR="00A934DC" w:rsidRPr="00CC62FC" w:rsidRDefault="00A934DC" w:rsidP="00663BBC">
            <w:pPr>
              <w:rPr>
                <w:rFonts w:cs="Arial"/>
                <w:szCs w:val="24"/>
              </w:rPr>
            </w:pPr>
            <w:r w:rsidRPr="00CC62FC">
              <w:rPr>
                <w:rFonts w:cs="Arial"/>
                <w:szCs w:val="24"/>
              </w:rPr>
              <w:t>1</w:t>
            </w:r>
          </w:p>
        </w:tc>
      </w:tr>
      <w:tr w:rsidR="00A934DC" w:rsidRPr="00CC62FC" w14:paraId="7B6AEC18" w14:textId="77777777" w:rsidTr="00663BBC">
        <w:tc>
          <w:tcPr>
            <w:tcW w:w="4475" w:type="dxa"/>
          </w:tcPr>
          <w:p w14:paraId="7D6CCF9D" w14:textId="77777777" w:rsidR="00A934DC" w:rsidRPr="00CC62FC" w:rsidRDefault="00A934DC" w:rsidP="00663BBC">
            <w:pPr>
              <w:rPr>
                <w:rFonts w:cs="Arial"/>
                <w:szCs w:val="24"/>
              </w:rPr>
            </w:pPr>
            <w:r w:rsidRPr="00CC62FC">
              <w:rPr>
                <w:rFonts w:cs="Arial"/>
                <w:szCs w:val="24"/>
              </w:rPr>
              <w:t>Employment of trans staff</w:t>
            </w:r>
          </w:p>
        </w:tc>
        <w:tc>
          <w:tcPr>
            <w:tcW w:w="931" w:type="dxa"/>
          </w:tcPr>
          <w:p w14:paraId="5265C5DA" w14:textId="77777777" w:rsidR="00A934DC" w:rsidRPr="00CC62FC" w:rsidRDefault="00A934DC" w:rsidP="00663BBC">
            <w:pPr>
              <w:rPr>
                <w:rFonts w:cs="Arial"/>
                <w:szCs w:val="24"/>
              </w:rPr>
            </w:pPr>
            <w:r w:rsidRPr="00CC62FC">
              <w:rPr>
                <w:rFonts w:cs="Arial"/>
                <w:szCs w:val="24"/>
              </w:rPr>
              <w:t>1</w:t>
            </w:r>
          </w:p>
        </w:tc>
        <w:tc>
          <w:tcPr>
            <w:tcW w:w="1252" w:type="dxa"/>
          </w:tcPr>
          <w:p w14:paraId="256413F0" w14:textId="77777777" w:rsidR="00A934DC" w:rsidRPr="00CC62FC" w:rsidRDefault="00A934DC" w:rsidP="00663BBC">
            <w:pPr>
              <w:rPr>
                <w:rFonts w:cs="Arial"/>
                <w:szCs w:val="24"/>
              </w:rPr>
            </w:pPr>
          </w:p>
        </w:tc>
        <w:tc>
          <w:tcPr>
            <w:tcW w:w="1275" w:type="dxa"/>
          </w:tcPr>
          <w:p w14:paraId="0B5DAC91" w14:textId="77777777" w:rsidR="00A934DC" w:rsidRPr="00CC62FC" w:rsidRDefault="00A934DC" w:rsidP="00663BBC">
            <w:pPr>
              <w:rPr>
                <w:rFonts w:cs="Arial"/>
                <w:szCs w:val="24"/>
              </w:rPr>
            </w:pPr>
          </w:p>
        </w:tc>
        <w:tc>
          <w:tcPr>
            <w:tcW w:w="1083" w:type="dxa"/>
          </w:tcPr>
          <w:p w14:paraId="23B1EA01" w14:textId="77777777" w:rsidR="00A934DC" w:rsidRPr="00CC62FC" w:rsidRDefault="00A934DC" w:rsidP="00663BBC">
            <w:pPr>
              <w:rPr>
                <w:rFonts w:cs="Arial"/>
                <w:szCs w:val="24"/>
              </w:rPr>
            </w:pPr>
            <w:r w:rsidRPr="00CC62FC">
              <w:rPr>
                <w:rFonts w:cs="Arial"/>
                <w:szCs w:val="24"/>
              </w:rPr>
              <w:t>1</w:t>
            </w:r>
          </w:p>
        </w:tc>
      </w:tr>
      <w:tr w:rsidR="00A934DC" w:rsidRPr="00CC62FC" w14:paraId="71CBE920" w14:textId="77777777" w:rsidTr="00663BBC">
        <w:tc>
          <w:tcPr>
            <w:tcW w:w="4475" w:type="dxa"/>
          </w:tcPr>
          <w:p w14:paraId="4FF05CB7" w14:textId="77777777" w:rsidR="00A934DC" w:rsidRPr="00CC62FC" w:rsidRDefault="00A934DC" w:rsidP="00663BBC">
            <w:pPr>
              <w:rPr>
                <w:rFonts w:cs="Arial"/>
                <w:szCs w:val="24"/>
              </w:rPr>
            </w:pPr>
            <w:r w:rsidRPr="00CC62FC">
              <w:rPr>
                <w:rFonts w:cs="Arial"/>
                <w:szCs w:val="24"/>
              </w:rPr>
              <w:t xml:space="preserve">Awareness of how students respond </w:t>
            </w:r>
          </w:p>
        </w:tc>
        <w:tc>
          <w:tcPr>
            <w:tcW w:w="931" w:type="dxa"/>
          </w:tcPr>
          <w:p w14:paraId="5321A608" w14:textId="77777777" w:rsidR="00A934DC" w:rsidRPr="00CC62FC" w:rsidRDefault="00A934DC" w:rsidP="00663BBC">
            <w:pPr>
              <w:rPr>
                <w:rFonts w:cs="Arial"/>
                <w:szCs w:val="24"/>
              </w:rPr>
            </w:pPr>
            <w:r w:rsidRPr="00CC62FC">
              <w:rPr>
                <w:rFonts w:cs="Arial"/>
                <w:szCs w:val="24"/>
              </w:rPr>
              <w:t>1</w:t>
            </w:r>
          </w:p>
        </w:tc>
        <w:tc>
          <w:tcPr>
            <w:tcW w:w="1252" w:type="dxa"/>
          </w:tcPr>
          <w:p w14:paraId="4CEB5AAB" w14:textId="77777777" w:rsidR="00A934DC" w:rsidRPr="00CC62FC" w:rsidRDefault="00A934DC" w:rsidP="00663BBC">
            <w:pPr>
              <w:rPr>
                <w:rFonts w:cs="Arial"/>
                <w:szCs w:val="24"/>
              </w:rPr>
            </w:pPr>
          </w:p>
        </w:tc>
        <w:tc>
          <w:tcPr>
            <w:tcW w:w="1275" w:type="dxa"/>
          </w:tcPr>
          <w:p w14:paraId="7C02432F" w14:textId="77777777" w:rsidR="00A934DC" w:rsidRPr="00CC62FC" w:rsidRDefault="00A934DC" w:rsidP="00663BBC">
            <w:pPr>
              <w:rPr>
                <w:rFonts w:cs="Arial"/>
                <w:szCs w:val="24"/>
              </w:rPr>
            </w:pPr>
          </w:p>
        </w:tc>
        <w:tc>
          <w:tcPr>
            <w:tcW w:w="1083" w:type="dxa"/>
          </w:tcPr>
          <w:p w14:paraId="7DD865F2" w14:textId="77777777" w:rsidR="00A934DC" w:rsidRPr="00CC62FC" w:rsidRDefault="00A934DC" w:rsidP="00663BBC">
            <w:pPr>
              <w:rPr>
                <w:rFonts w:cs="Arial"/>
                <w:szCs w:val="24"/>
              </w:rPr>
            </w:pPr>
            <w:r w:rsidRPr="00CC62FC">
              <w:rPr>
                <w:rFonts w:cs="Arial"/>
                <w:szCs w:val="24"/>
              </w:rPr>
              <w:t>1</w:t>
            </w:r>
          </w:p>
        </w:tc>
      </w:tr>
      <w:tr w:rsidR="00A934DC" w:rsidRPr="00CC62FC" w14:paraId="228B59BD" w14:textId="77777777" w:rsidTr="00663BBC">
        <w:tc>
          <w:tcPr>
            <w:tcW w:w="4475" w:type="dxa"/>
          </w:tcPr>
          <w:p w14:paraId="36BB6657" w14:textId="77777777" w:rsidR="00A934DC" w:rsidRPr="00CC62FC" w:rsidRDefault="00A934DC" w:rsidP="00663BBC">
            <w:pPr>
              <w:rPr>
                <w:rFonts w:cs="Arial"/>
                <w:szCs w:val="24"/>
              </w:rPr>
            </w:pPr>
            <w:r w:rsidRPr="00CC62FC">
              <w:rPr>
                <w:rFonts w:cs="Arial"/>
                <w:szCs w:val="24"/>
              </w:rPr>
              <w:t>Library provision</w:t>
            </w:r>
          </w:p>
        </w:tc>
        <w:tc>
          <w:tcPr>
            <w:tcW w:w="931" w:type="dxa"/>
          </w:tcPr>
          <w:p w14:paraId="4E51D8DE" w14:textId="77777777" w:rsidR="00A934DC" w:rsidRPr="00CC62FC" w:rsidRDefault="00A934DC" w:rsidP="00663BBC">
            <w:pPr>
              <w:rPr>
                <w:rFonts w:cs="Arial"/>
                <w:szCs w:val="24"/>
              </w:rPr>
            </w:pPr>
            <w:r w:rsidRPr="00CC62FC">
              <w:rPr>
                <w:rFonts w:cs="Arial"/>
                <w:szCs w:val="24"/>
              </w:rPr>
              <w:t>1</w:t>
            </w:r>
          </w:p>
        </w:tc>
        <w:tc>
          <w:tcPr>
            <w:tcW w:w="1252" w:type="dxa"/>
          </w:tcPr>
          <w:p w14:paraId="34F99E81" w14:textId="77777777" w:rsidR="00A934DC" w:rsidRPr="00CC62FC" w:rsidRDefault="00A934DC" w:rsidP="00663BBC">
            <w:pPr>
              <w:rPr>
                <w:rFonts w:cs="Arial"/>
                <w:szCs w:val="24"/>
              </w:rPr>
            </w:pPr>
          </w:p>
        </w:tc>
        <w:tc>
          <w:tcPr>
            <w:tcW w:w="1275" w:type="dxa"/>
          </w:tcPr>
          <w:p w14:paraId="67429D3E" w14:textId="77777777" w:rsidR="00A934DC" w:rsidRPr="00CC62FC" w:rsidRDefault="00A934DC" w:rsidP="00663BBC">
            <w:pPr>
              <w:rPr>
                <w:rFonts w:cs="Arial"/>
                <w:szCs w:val="24"/>
              </w:rPr>
            </w:pPr>
          </w:p>
        </w:tc>
        <w:tc>
          <w:tcPr>
            <w:tcW w:w="1083" w:type="dxa"/>
          </w:tcPr>
          <w:p w14:paraId="01974053" w14:textId="77777777" w:rsidR="00A934DC" w:rsidRPr="00CC62FC" w:rsidRDefault="00A934DC" w:rsidP="00663BBC">
            <w:pPr>
              <w:rPr>
                <w:rFonts w:cs="Arial"/>
                <w:szCs w:val="24"/>
              </w:rPr>
            </w:pPr>
            <w:r w:rsidRPr="00CC62FC">
              <w:rPr>
                <w:rFonts w:cs="Arial"/>
                <w:szCs w:val="24"/>
              </w:rPr>
              <w:t>1</w:t>
            </w:r>
          </w:p>
        </w:tc>
      </w:tr>
      <w:tr w:rsidR="00A934DC" w:rsidRPr="00CC62FC" w14:paraId="1F6BC9F9" w14:textId="77777777" w:rsidTr="00663BBC">
        <w:tc>
          <w:tcPr>
            <w:tcW w:w="4475" w:type="dxa"/>
          </w:tcPr>
          <w:p w14:paraId="56FE7A3B" w14:textId="77777777" w:rsidR="00A934DC" w:rsidRPr="00CC62FC" w:rsidRDefault="00A934DC" w:rsidP="00663BBC">
            <w:pPr>
              <w:rPr>
                <w:rFonts w:cs="Arial"/>
                <w:szCs w:val="24"/>
              </w:rPr>
            </w:pPr>
            <w:r w:rsidRPr="00CC62FC">
              <w:rPr>
                <w:rFonts w:cs="Arial"/>
                <w:szCs w:val="24"/>
              </w:rPr>
              <w:t>Engaging with trans/NB-inclusive institutions</w:t>
            </w:r>
          </w:p>
        </w:tc>
        <w:tc>
          <w:tcPr>
            <w:tcW w:w="931" w:type="dxa"/>
          </w:tcPr>
          <w:p w14:paraId="7BA41537" w14:textId="77777777" w:rsidR="00A934DC" w:rsidRPr="00CC62FC" w:rsidRDefault="00A934DC" w:rsidP="00663BBC">
            <w:pPr>
              <w:rPr>
                <w:rFonts w:cs="Arial"/>
                <w:szCs w:val="24"/>
              </w:rPr>
            </w:pPr>
            <w:r w:rsidRPr="00CC62FC">
              <w:rPr>
                <w:rFonts w:cs="Arial"/>
                <w:szCs w:val="24"/>
              </w:rPr>
              <w:t>1</w:t>
            </w:r>
          </w:p>
        </w:tc>
        <w:tc>
          <w:tcPr>
            <w:tcW w:w="1252" w:type="dxa"/>
          </w:tcPr>
          <w:p w14:paraId="60CED72A" w14:textId="77777777" w:rsidR="00A934DC" w:rsidRPr="00CC62FC" w:rsidRDefault="00A934DC" w:rsidP="00663BBC">
            <w:pPr>
              <w:rPr>
                <w:rFonts w:cs="Arial"/>
                <w:szCs w:val="24"/>
              </w:rPr>
            </w:pPr>
          </w:p>
        </w:tc>
        <w:tc>
          <w:tcPr>
            <w:tcW w:w="1275" w:type="dxa"/>
          </w:tcPr>
          <w:p w14:paraId="7A214D95" w14:textId="77777777" w:rsidR="00A934DC" w:rsidRPr="00CC62FC" w:rsidRDefault="00A934DC" w:rsidP="00663BBC">
            <w:pPr>
              <w:rPr>
                <w:rFonts w:cs="Arial"/>
                <w:szCs w:val="24"/>
              </w:rPr>
            </w:pPr>
          </w:p>
        </w:tc>
        <w:tc>
          <w:tcPr>
            <w:tcW w:w="1083" w:type="dxa"/>
          </w:tcPr>
          <w:p w14:paraId="6AAA3979" w14:textId="77777777" w:rsidR="00A934DC" w:rsidRPr="00CC62FC" w:rsidRDefault="00A934DC" w:rsidP="00663BBC">
            <w:pPr>
              <w:rPr>
                <w:rFonts w:cs="Arial"/>
                <w:szCs w:val="24"/>
              </w:rPr>
            </w:pPr>
            <w:r w:rsidRPr="00CC62FC">
              <w:rPr>
                <w:rFonts w:cs="Arial"/>
                <w:szCs w:val="24"/>
              </w:rPr>
              <w:t>1</w:t>
            </w:r>
          </w:p>
        </w:tc>
      </w:tr>
    </w:tbl>
    <w:p w14:paraId="05302855" w14:textId="77777777" w:rsidR="00A934DC" w:rsidRPr="00CC62FC" w:rsidRDefault="00A934DC" w:rsidP="00A934DC">
      <w:pPr>
        <w:rPr>
          <w:rFonts w:cs="Arial"/>
          <w:szCs w:val="24"/>
        </w:rPr>
      </w:pPr>
    </w:p>
    <w:p w14:paraId="503E74DA" w14:textId="77777777" w:rsidR="00A934DC" w:rsidRPr="00CC62FC" w:rsidRDefault="00A934DC" w:rsidP="00A934DC">
      <w:pPr>
        <w:rPr>
          <w:szCs w:val="24"/>
        </w:rPr>
      </w:pPr>
    </w:p>
    <w:sectPr w:rsidR="00A934DC" w:rsidRPr="00CC62FC" w:rsidSect="005A3470">
      <w:footerReference w:type="default" r:id="rId28"/>
      <w:footerReference w:type="first" r:id="rId29"/>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080A" w14:textId="77777777" w:rsidR="00EC1BD4" w:rsidRDefault="00EC1BD4" w:rsidP="00EC7005">
      <w:r>
        <w:separator/>
      </w:r>
    </w:p>
  </w:endnote>
  <w:endnote w:type="continuationSeparator" w:id="0">
    <w:p w14:paraId="24BD5CCA" w14:textId="77777777" w:rsidR="00EC1BD4" w:rsidRDefault="00EC1BD4" w:rsidP="00EC70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00735051"/>
      <w:docPartObj>
        <w:docPartGallery w:val="Page Numbers (Bottom of Page)"/>
        <w:docPartUnique/>
      </w:docPartObj>
    </w:sdtPr>
    <w:sdtEndPr>
      <w:rPr>
        <w:noProof/>
      </w:rPr>
    </w:sdtEndPr>
    <w:sdtContent>
      <w:p w14:paraId="34DC38CD" w14:textId="5009AE89" w:rsidR="000D0777" w:rsidRPr="0019098A" w:rsidRDefault="000D0777">
        <w:pPr>
          <w:pStyle w:val="Footer"/>
          <w:jc w:val="right"/>
          <w:rPr>
            <w:sz w:val="20"/>
            <w:szCs w:val="20"/>
          </w:rPr>
        </w:pPr>
        <w:r w:rsidRPr="0019098A">
          <w:rPr>
            <w:sz w:val="20"/>
            <w:szCs w:val="20"/>
          </w:rPr>
          <w:fldChar w:fldCharType="begin"/>
        </w:r>
        <w:r w:rsidRPr="0019098A">
          <w:rPr>
            <w:sz w:val="20"/>
            <w:szCs w:val="20"/>
          </w:rPr>
          <w:instrText xml:space="preserve"> PAGE   \* MERGEFORMAT </w:instrText>
        </w:r>
        <w:r w:rsidRPr="0019098A">
          <w:rPr>
            <w:sz w:val="20"/>
            <w:szCs w:val="20"/>
          </w:rPr>
          <w:fldChar w:fldCharType="separate"/>
        </w:r>
        <w:r w:rsidR="00910FBD">
          <w:rPr>
            <w:noProof/>
            <w:sz w:val="20"/>
            <w:szCs w:val="20"/>
          </w:rPr>
          <w:t>21</w:t>
        </w:r>
        <w:r w:rsidRPr="0019098A">
          <w:rPr>
            <w:noProof/>
            <w:sz w:val="20"/>
            <w:szCs w:val="20"/>
          </w:rPr>
          <w:fldChar w:fldCharType="end"/>
        </w:r>
      </w:p>
    </w:sdtContent>
  </w:sdt>
  <w:p w14:paraId="4A13FA0F" w14:textId="3A8B4A8D" w:rsidR="000D0777" w:rsidRPr="0019098A" w:rsidRDefault="000D0777" w:rsidP="005A3470">
    <w:pPr>
      <w:pStyle w:val="Footer"/>
      <w:jc w:val="right"/>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2A85D" w14:textId="4FE27FD7" w:rsidR="000D0777" w:rsidRPr="00594A11" w:rsidRDefault="000D0777" w:rsidP="00594A11">
    <w:pPr>
      <w:pStyle w:val="Footer"/>
      <w:jc w:val="right"/>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581795" w14:textId="77777777" w:rsidR="00EC1BD4" w:rsidRDefault="00EC1BD4" w:rsidP="00EC7005">
      <w:r>
        <w:separator/>
      </w:r>
    </w:p>
  </w:footnote>
  <w:footnote w:type="continuationSeparator" w:id="0">
    <w:p w14:paraId="64C6A406" w14:textId="77777777" w:rsidR="00EC1BD4" w:rsidRDefault="00EC1BD4" w:rsidP="00EC7005">
      <w:r>
        <w:continuationSeparator/>
      </w:r>
    </w:p>
  </w:footnote>
  <w:footnote w:id="1">
    <w:p w14:paraId="7894E477" w14:textId="4228ACC7" w:rsidR="000D0777" w:rsidRPr="00C55588" w:rsidRDefault="000D0777" w:rsidP="0019098A">
      <w:pPr>
        <w:pStyle w:val="FootnoteText"/>
      </w:pPr>
      <w:r w:rsidRPr="00C55588">
        <w:rPr>
          <w:rStyle w:val="FootnoteReference"/>
        </w:rPr>
        <w:footnoteRef/>
      </w:r>
      <w:r w:rsidRPr="00C55588">
        <w:t xml:space="preserve"> This </w:t>
      </w:r>
      <w:r>
        <w:t>research</w:t>
      </w:r>
      <w:r w:rsidRPr="00C55588">
        <w:t xml:space="preserve"> was originally conducted </w:t>
      </w:r>
      <w:r>
        <w:t xml:space="preserve">as part of </w:t>
      </w:r>
      <w:r w:rsidRPr="00C55588">
        <w:t xml:space="preserve">Hull’s Postgraduate Certificate in Academic Practice </w:t>
      </w:r>
      <w:r>
        <w:t xml:space="preserve">programme. It </w:t>
      </w:r>
      <w:r w:rsidRPr="00C55588">
        <w:t xml:space="preserve">was approved by the </w:t>
      </w:r>
      <w:proofErr w:type="spellStart"/>
      <w:r w:rsidRPr="00C55588">
        <w:t>UoH</w:t>
      </w:r>
      <w:proofErr w:type="spellEnd"/>
      <w:r w:rsidRPr="00C55588">
        <w:t xml:space="preserve"> Faculty of Education Ethics Committee on 26 February 2015 (</w:t>
      </w:r>
      <w:proofErr w:type="spellStart"/>
      <w:r w:rsidRPr="00C55588">
        <w:t>FoE</w:t>
      </w:r>
      <w:proofErr w:type="spellEnd"/>
      <w:r w:rsidRPr="00C55588">
        <w:t xml:space="preserve"> 14/15–17). </w:t>
      </w:r>
    </w:p>
  </w:footnote>
  <w:footnote w:id="2">
    <w:p w14:paraId="043C0302" w14:textId="488A4213" w:rsidR="000D0777" w:rsidRPr="00C55588" w:rsidRDefault="000D0777" w:rsidP="00887965">
      <w:pPr>
        <w:pStyle w:val="FootnoteText"/>
      </w:pPr>
      <w:r w:rsidRPr="00C55588">
        <w:rPr>
          <w:rStyle w:val="FootnoteReference"/>
        </w:rPr>
        <w:footnoteRef/>
      </w:r>
      <w:r w:rsidRPr="00C55588">
        <w:t xml:space="preserve"> Julia </w:t>
      </w:r>
      <w:proofErr w:type="spellStart"/>
      <w:r w:rsidRPr="00C55588">
        <w:t>Serano</w:t>
      </w:r>
      <w:proofErr w:type="spellEnd"/>
      <w:r w:rsidRPr="00C55588">
        <w:t xml:space="preserve"> defines </w:t>
      </w:r>
      <w:proofErr w:type="spellStart"/>
      <w:r w:rsidRPr="00C55588">
        <w:t>cissexism</w:t>
      </w:r>
      <w:proofErr w:type="spellEnd"/>
      <w:r w:rsidRPr="00C55588">
        <w:t xml:space="preserve"> as ‘the belief that transsexuals’ identified genders are inferior to, or less authentic than, those of </w:t>
      </w:r>
      <w:proofErr w:type="spellStart"/>
      <w:r w:rsidRPr="00C55588">
        <w:rPr>
          <w:i/>
          <w:iCs/>
        </w:rPr>
        <w:t>cissexuals</w:t>
      </w:r>
      <w:proofErr w:type="spellEnd"/>
      <w:r w:rsidRPr="00C55588">
        <w:t xml:space="preserve"> (i.e. people who are not transsexual and who have only ever experienced their subconscious and physical sexes as being aligned)’, commonly expressed through ‘attempt[</w:t>
      </w:r>
      <w:proofErr w:type="spellStart"/>
      <w:r w:rsidRPr="00C55588">
        <w:t>ing</w:t>
      </w:r>
      <w:proofErr w:type="spellEnd"/>
      <w:r w:rsidRPr="00C55588">
        <w:t xml:space="preserve">] to deny the transsexual the basic privileges that are associated with the trans person’s self-identified gender’ – whether on a deliberately exclusionary basis or unthinkingly as a residue of structural </w:t>
      </w:r>
      <w:proofErr w:type="spellStart"/>
      <w:r w:rsidRPr="00C55588">
        <w:t>cissexism</w:t>
      </w:r>
      <w:proofErr w:type="spellEnd"/>
      <w:r w:rsidRPr="00C55588">
        <w:t xml:space="preserve"> in society (</w:t>
      </w:r>
      <w:proofErr w:type="spellStart"/>
      <w:r w:rsidRPr="00C55588">
        <w:t>Serano</w:t>
      </w:r>
      <w:proofErr w:type="spellEnd"/>
      <w:r w:rsidRPr="00C55588">
        <w:t xml:space="preserve"> 2007: 12). Greta Bauer et al. (2009: 356) define </w:t>
      </w:r>
      <w:proofErr w:type="spellStart"/>
      <w:r w:rsidRPr="00C55588">
        <w:t>cisnormativity</w:t>
      </w:r>
      <w:proofErr w:type="spellEnd"/>
      <w:r w:rsidRPr="00C55588">
        <w:t xml:space="preserve"> as ‘the expectation that all people are </w:t>
      </w:r>
      <w:proofErr w:type="spellStart"/>
      <w:r w:rsidRPr="00C55588">
        <w:t>cissexual</w:t>
      </w:r>
      <w:proofErr w:type="spellEnd"/>
      <w:r w:rsidRPr="00C55588">
        <w:t>, that those assigned male at birth always grow up to be men and those assigned female at birth always grow up to be women. This assumption is so pervasive that it otherwise has not yet been named’. The words are formed by analogy with ‘</w:t>
      </w:r>
      <w:proofErr w:type="spellStart"/>
      <w:r w:rsidRPr="00C55588">
        <w:t>heterosexism</w:t>
      </w:r>
      <w:proofErr w:type="spellEnd"/>
      <w:r w:rsidRPr="00C55588">
        <w:t>’ and ‘heteronormativity’. Writing that refers to ‘trans’ or ‘transgender’ rather than ‘transsexual’ people usually uses the terms ‘</w:t>
      </w:r>
      <w:proofErr w:type="spellStart"/>
      <w:r w:rsidRPr="00C55588">
        <w:t>cis</w:t>
      </w:r>
      <w:proofErr w:type="spellEnd"/>
      <w:r w:rsidRPr="00C55588">
        <w:t>’ or ‘cisgender’ instead of ‘</w:t>
      </w:r>
      <w:proofErr w:type="spellStart"/>
      <w:r w:rsidRPr="00C55588">
        <w:t>cissexual</w:t>
      </w:r>
      <w:proofErr w:type="spellEnd"/>
      <w:r w:rsidRPr="00C55588">
        <w:t>’ and may use ‘</w:t>
      </w:r>
      <w:proofErr w:type="spellStart"/>
      <w:r w:rsidRPr="00C55588">
        <w:t>cisgenderism</w:t>
      </w:r>
      <w:proofErr w:type="spellEnd"/>
      <w:r w:rsidRPr="00C55588">
        <w:t>’ rather than ‘</w:t>
      </w:r>
      <w:proofErr w:type="spellStart"/>
      <w:r w:rsidRPr="00C55588">
        <w:t>cissexism</w:t>
      </w:r>
      <w:proofErr w:type="spellEnd"/>
      <w:r w:rsidRPr="00C55588">
        <w:t>’ (e.g. Kennedy 2013).</w:t>
      </w:r>
    </w:p>
  </w:footnote>
  <w:footnote w:id="3">
    <w:p w14:paraId="6AB6C312" w14:textId="6873C24C" w:rsidR="000D0777" w:rsidRPr="00C55588" w:rsidRDefault="000D0777">
      <w:pPr>
        <w:pStyle w:val="FootnoteText"/>
      </w:pPr>
      <w:r w:rsidRPr="00C55588">
        <w:rPr>
          <w:rStyle w:val="FootnoteReference"/>
        </w:rPr>
        <w:footnoteRef/>
      </w:r>
      <w:r>
        <w:t xml:space="preserve"> Written e</w:t>
      </w:r>
      <w:r w:rsidRPr="00C55588">
        <w:t xml:space="preserve">vidence TRA0187 (National Union of Students), 21 August 2015. </w:t>
      </w:r>
      <w:hyperlink r:id="rId1" w:history="1">
        <w:r w:rsidRPr="00C55588">
          <w:rPr>
            <w:rStyle w:val="Hyperlink"/>
          </w:rPr>
          <w:t>http://data.parliament.uk/writtenevidence/committeeevidence.svc/evidencedocument/women-and-equalities-committee/transgender-equality/written/19608.html</w:t>
        </w:r>
      </w:hyperlink>
      <w:r w:rsidRPr="00C55588">
        <w:t xml:space="preserve"> (accessed 27 June 2016). </w:t>
      </w:r>
    </w:p>
  </w:footnote>
  <w:footnote w:id="4">
    <w:p w14:paraId="0CD2FAFA" w14:textId="5784DB4B" w:rsidR="000D0777" w:rsidRPr="00C55588" w:rsidRDefault="000D0777" w:rsidP="00910FBD">
      <w:pPr>
        <w:pStyle w:val="FootnoteText"/>
      </w:pPr>
      <w:r w:rsidRPr="00C55588">
        <w:rPr>
          <w:rStyle w:val="FootnoteReference"/>
        </w:rPr>
        <w:footnoteRef/>
      </w:r>
      <w:r w:rsidRPr="00C55588">
        <w:t xml:space="preserve"> The survey contained no responses arguing that </w:t>
      </w:r>
      <w:proofErr w:type="gramStart"/>
      <w:r w:rsidRPr="00C55588">
        <w:t>trans</w:t>
      </w:r>
      <w:proofErr w:type="gramEnd"/>
      <w:r w:rsidRPr="00C55588">
        <w:t xml:space="preserve"> inclusion was irrelevant, unnecessary or misguided. People holding these views were probably less likely to respond to an open-ended survey than people who shared the assumptions of the research. </w:t>
      </w:r>
    </w:p>
  </w:footnote>
  <w:footnote w:id="5">
    <w:p w14:paraId="537F6A7F" w14:textId="4A8D332C" w:rsidR="000D0777" w:rsidRPr="00C55588" w:rsidRDefault="000D0777" w:rsidP="00E03252">
      <w:pPr>
        <w:pStyle w:val="FootnoteText"/>
      </w:pPr>
      <w:r w:rsidRPr="00C55588">
        <w:rPr>
          <w:rStyle w:val="FootnoteReference"/>
        </w:rPr>
        <w:footnoteRef/>
      </w:r>
      <w:r w:rsidRPr="00C55588">
        <w:t xml:space="preserve"> ‘Gender identity’ here refers to the relationship between a person’s gender and the gender they were assigned at birth after inspection of their genitalia (‘trans’ or ‘transgender’ if these do not match, ‘</w:t>
      </w:r>
      <w:proofErr w:type="spellStart"/>
      <w:r w:rsidRPr="00C55588">
        <w:t>cis</w:t>
      </w:r>
      <w:proofErr w:type="spellEnd"/>
      <w:r w:rsidRPr="00C55588">
        <w:t xml:space="preserve">’ or ‘cisgender’ if they do). It is distinct from ‘gender’ as in what gender(s) someone is (e.g. understanding themselves as male, female, a gender outside the male/female binary, </w:t>
      </w:r>
      <w:proofErr w:type="spellStart"/>
      <w:r w:rsidRPr="00C55588">
        <w:t>genderqueer</w:t>
      </w:r>
      <w:proofErr w:type="spellEnd"/>
      <w:r w:rsidRPr="00C55588">
        <w:t xml:space="preserve"> or </w:t>
      </w:r>
      <w:proofErr w:type="spellStart"/>
      <w:r w:rsidRPr="00C55588">
        <w:t>genderfluid</w:t>
      </w:r>
      <w:proofErr w:type="spellEnd"/>
      <w:r w:rsidRPr="00C55588">
        <w:t xml:space="preserve">, </w:t>
      </w:r>
      <w:proofErr w:type="spellStart"/>
      <w:r w:rsidRPr="00C55588">
        <w:t>bigender</w:t>
      </w:r>
      <w:proofErr w:type="spellEnd"/>
      <w:r w:rsidRPr="00C55588">
        <w:t xml:space="preserve">, or </w:t>
      </w:r>
      <w:proofErr w:type="spellStart"/>
      <w:r w:rsidRPr="00C55588">
        <w:t>agender</w:t>
      </w:r>
      <w:proofErr w:type="spellEnd"/>
      <w:r w:rsidRPr="00C55588">
        <w:t>).</w:t>
      </w:r>
    </w:p>
  </w:footnote>
  <w:footnote w:id="6">
    <w:p w14:paraId="503618BA" w14:textId="2F7F85A4" w:rsidR="000D0777" w:rsidRPr="00C55588" w:rsidRDefault="000D0777" w:rsidP="00BE73FF">
      <w:pPr>
        <w:pStyle w:val="FootnoteText"/>
      </w:pPr>
      <w:r w:rsidRPr="00C55588">
        <w:rPr>
          <w:rStyle w:val="FootnoteReference"/>
        </w:rPr>
        <w:footnoteRef/>
      </w:r>
      <w:r w:rsidRPr="00C55588">
        <w:t xml:space="preserve"> Butler did later, however, commit herself to a politics of </w:t>
      </w:r>
      <w:proofErr w:type="gramStart"/>
      <w:r w:rsidRPr="00C55588">
        <w:t>trans</w:t>
      </w:r>
      <w:proofErr w:type="gramEnd"/>
      <w:r w:rsidRPr="00C55588">
        <w:t xml:space="preserve"> liberation and gender self-determination (Williams 2014). </w:t>
      </w:r>
    </w:p>
  </w:footnote>
  <w:footnote w:id="7">
    <w:p w14:paraId="7F8C3DCC" w14:textId="2217CA90" w:rsidR="000D0777" w:rsidRDefault="000D0777" w:rsidP="00CC75B4">
      <w:pPr>
        <w:pStyle w:val="FootnoteText"/>
      </w:pPr>
      <w:r>
        <w:rPr>
          <w:rStyle w:val="FootnoteReference"/>
        </w:rPr>
        <w:footnoteRef/>
      </w:r>
      <w:r>
        <w:t xml:space="preserve"> The shortcomings of generalisations about a single category of womanhood have already been broken down in women’s and gender history by Evelyn Brooks Higginbotham and other historians of black women, who show that ‘factors of class and race make any generalization regarding womanhood’s common oppression impossible’ (Higginbotham 1989: 63). Although racism and </w:t>
      </w:r>
      <w:proofErr w:type="spellStart"/>
      <w:r>
        <w:t>cissexism</w:t>
      </w:r>
      <w:proofErr w:type="spellEnd"/>
      <w:r>
        <w:t xml:space="preserve"> are distinct forms of oppression, this literature offers a well-established example of gender historians recognising other oppressions intersecting with the category of ‘woman’ to produce very different experiences within the category. </w:t>
      </w:r>
    </w:p>
  </w:footnote>
  <w:footnote w:id="8">
    <w:p w14:paraId="22F6F344" w14:textId="33353210" w:rsidR="000D0777" w:rsidRPr="00C55588" w:rsidRDefault="000D0777">
      <w:pPr>
        <w:pStyle w:val="FootnoteText"/>
      </w:pPr>
      <w:r w:rsidRPr="00C55588">
        <w:rPr>
          <w:rStyle w:val="FootnoteReference"/>
        </w:rPr>
        <w:footnoteRef/>
      </w:r>
      <w:r w:rsidRPr="00C55588">
        <w:t xml:space="preserve"> Metis provided this as a URL in their survey response.</w:t>
      </w:r>
    </w:p>
  </w:footnote>
  <w:footnote w:id="9">
    <w:p w14:paraId="44DD8453" w14:textId="4A5F294F" w:rsidR="000D0777" w:rsidRPr="00C55588" w:rsidRDefault="000D0777" w:rsidP="00B1574F">
      <w:pPr>
        <w:pStyle w:val="FootnoteText"/>
      </w:pPr>
      <w:r w:rsidRPr="00C55588">
        <w:rPr>
          <w:rStyle w:val="FootnoteReference"/>
        </w:rPr>
        <w:footnoteRef/>
      </w:r>
      <w:r w:rsidRPr="00C55588">
        <w:t xml:space="preserve"> Not all </w:t>
      </w:r>
      <w:proofErr w:type="gramStart"/>
      <w:r w:rsidRPr="00C55588">
        <w:t>trans</w:t>
      </w:r>
      <w:proofErr w:type="gramEnd"/>
      <w:r w:rsidRPr="00C55588">
        <w:t xml:space="preserve"> or non-binary scholars are out professionally, especially in subject areas outside Gender Studies; teachers can nevertheless strive to include trans authors of whom they </w:t>
      </w:r>
      <w:r w:rsidRPr="00C55588">
        <w:rPr>
          <w:i/>
          <w:iCs/>
        </w:rPr>
        <w:t>are</w:t>
      </w:r>
      <w:r w:rsidRPr="00C55588">
        <w:t xml:space="preserve"> aware.</w:t>
      </w:r>
    </w:p>
  </w:footnote>
  <w:footnote w:id="10">
    <w:p w14:paraId="7E8460C8" w14:textId="5C11BEFC" w:rsidR="000D0777" w:rsidRPr="003736D4" w:rsidRDefault="000D0777" w:rsidP="003736D4">
      <w:pPr>
        <w:pStyle w:val="FootnoteText"/>
      </w:pPr>
      <w:r>
        <w:rPr>
          <w:rStyle w:val="FootnoteReference"/>
        </w:rPr>
        <w:footnoteRef/>
      </w:r>
      <w:r>
        <w:t xml:space="preserve"> Two contrasting approaches to writing about de </w:t>
      </w:r>
      <w:proofErr w:type="spellStart"/>
      <w:r>
        <w:t>Erauso</w:t>
      </w:r>
      <w:proofErr w:type="spellEnd"/>
      <w:r>
        <w:t xml:space="preserve">, for instance, appear in a 2007 </w:t>
      </w:r>
      <w:r w:rsidRPr="008143C3">
        <w:rPr>
          <w:rFonts w:cs="Arial"/>
          <w:i/>
          <w:iCs/>
        </w:rPr>
        <w:t>Gender and History</w:t>
      </w:r>
      <w:r>
        <w:rPr>
          <w:rFonts w:cs="Arial"/>
        </w:rPr>
        <w:t xml:space="preserve"> article that calls de </w:t>
      </w:r>
      <w:proofErr w:type="spellStart"/>
      <w:r>
        <w:rPr>
          <w:rFonts w:cs="Arial"/>
        </w:rPr>
        <w:t>Erauso</w:t>
      </w:r>
      <w:proofErr w:type="spellEnd"/>
      <w:r>
        <w:rPr>
          <w:rFonts w:cs="Arial"/>
        </w:rPr>
        <w:t xml:space="preserve"> ‘she’ throughout, except in two paragraphs about his military career in South America (</w:t>
      </w:r>
      <w:proofErr w:type="spellStart"/>
      <w:r>
        <w:rPr>
          <w:rFonts w:cs="Arial"/>
        </w:rPr>
        <w:t>Aresti</w:t>
      </w:r>
      <w:proofErr w:type="spellEnd"/>
      <w:r>
        <w:rPr>
          <w:rFonts w:cs="Arial"/>
        </w:rPr>
        <w:t xml:space="preserve"> 2007), and a 2015 article in </w:t>
      </w:r>
      <w:r>
        <w:rPr>
          <w:rFonts w:cs="Arial"/>
          <w:i/>
          <w:iCs/>
        </w:rPr>
        <w:t>Colonial Latin American Review</w:t>
      </w:r>
      <w:r>
        <w:rPr>
          <w:rFonts w:cs="Arial"/>
        </w:rPr>
        <w:t xml:space="preserve"> which does not seek to determine de </w:t>
      </w:r>
      <w:proofErr w:type="spellStart"/>
      <w:r>
        <w:rPr>
          <w:rFonts w:cs="Arial"/>
        </w:rPr>
        <w:t>Erauso’s</w:t>
      </w:r>
      <w:proofErr w:type="spellEnd"/>
      <w:r>
        <w:rPr>
          <w:rFonts w:cs="Arial"/>
        </w:rPr>
        <w:t xml:space="preserve"> gender from the historical sources at all but is interested in how Spanish officials and others in the sources produced knowledge about de </w:t>
      </w:r>
      <w:proofErr w:type="spellStart"/>
      <w:r>
        <w:rPr>
          <w:rFonts w:cs="Arial"/>
        </w:rPr>
        <w:t>Erauso’s</w:t>
      </w:r>
      <w:proofErr w:type="spellEnd"/>
      <w:r>
        <w:rPr>
          <w:rFonts w:cs="Arial"/>
        </w:rPr>
        <w:t xml:space="preserve"> gender, class and social status (</w:t>
      </w:r>
      <w:proofErr w:type="spellStart"/>
      <w:r>
        <w:rPr>
          <w:rFonts w:cs="Arial"/>
        </w:rPr>
        <w:t>Goldmark</w:t>
      </w:r>
      <w:proofErr w:type="spellEnd"/>
      <w:r>
        <w:rPr>
          <w:rFonts w:cs="Arial"/>
        </w:rPr>
        <w:t xml:space="preserve"> 2015). </w:t>
      </w:r>
    </w:p>
  </w:footnote>
  <w:footnote w:id="11">
    <w:p w14:paraId="27A827C5" w14:textId="0F904EDD" w:rsidR="000D0777" w:rsidRDefault="000D0777" w:rsidP="008143C3">
      <w:pPr>
        <w:pStyle w:val="FootnoteText"/>
      </w:pPr>
      <w:r>
        <w:rPr>
          <w:rStyle w:val="FootnoteReference"/>
        </w:rPr>
        <w:footnoteRef/>
      </w:r>
      <w:r>
        <w:t xml:space="preserve"> This figure is significantly lower than the 7.9 in 10 of heterosexual students, and the 7.2 in 10 of LGB students, who believed this (</w:t>
      </w:r>
      <w:proofErr w:type="spellStart"/>
      <w:r>
        <w:t>Acciari</w:t>
      </w:r>
      <w:proofErr w:type="spellEnd"/>
      <w:r>
        <w:t xml:space="preserve"> 2014: 39) – suggesting that those respondents who themselves felt the effects of </w:t>
      </w:r>
      <w:proofErr w:type="spellStart"/>
      <w:r>
        <w:t>transphobia</w:t>
      </w:r>
      <w:proofErr w:type="spellEnd"/>
      <w:r>
        <w:t xml:space="preserve"> were the least confident that lecturers would intervene.</w:t>
      </w:r>
    </w:p>
  </w:footnote>
  <w:footnote w:id="12">
    <w:p w14:paraId="278CD4C7" w14:textId="0ED41011" w:rsidR="000D0777" w:rsidRPr="00C55588" w:rsidRDefault="000D0777" w:rsidP="00D21DCB">
      <w:pPr>
        <w:pStyle w:val="FootnoteText"/>
      </w:pPr>
      <w:r w:rsidRPr="00C55588">
        <w:rPr>
          <w:rStyle w:val="FootnoteReference"/>
        </w:rPr>
        <w:footnoteRef/>
      </w:r>
      <w:r w:rsidRPr="00C55588">
        <w:t xml:space="preserve"> Written evidence TRA0082 (Anonymised), 19 August 2015. </w:t>
      </w:r>
      <w:hyperlink r:id="rId2" w:history="1">
        <w:r w:rsidRPr="00C55588">
          <w:rPr>
            <w:rStyle w:val="Hyperlink"/>
          </w:rPr>
          <w:t>http://data.parliament.uk/writtenevidence/committeeevidence.svc/evidencedocument/women-and-equalities-committee/transgender-equality/written/19362.html</w:t>
        </w:r>
      </w:hyperlink>
      <w:r w:rsidRPr="00C55588">
        <w:t xml:space="preserve"> (accessed 27 June 2016). </w:t>
      </w:r>
    </w:p>
  </w:footnote>
  <w:footnote w:id="13">
    <w:p w14:paraId="4662DBD9" w14:textId="77777777" w:rsidR="000D0777" w:rsidRPr="00C55588" w:rsidRDefault="000D0777" w:rsidP="00A934DC">
      <w:pPr>
        <w:pStyle w:val="FootnoteText"/>
      </w:pPr>
      <w:r w:rsidRPr="00C55588">
        <w:rPr>
          <w:rStyle w:val="FootnoteReference"/>
        </w:rPr>
        <w:footnoteRef/>
      </w:r>
      <w:r w:rsidRPr="00C55588">
        <w:t xml:space="preserve"> Due to joint degrees and multiple degrees, this column totals higher than the total of respondents. Rows may total lower than component columns if a respondent studied one subject at both levels. </w:t>
      </w:r>
    </w:p>
  </w:footnote>
  <w:footnote w:id="14">
    <w:p w14:paraId="58F44766" w14:textId="77777777" w:rsidR="000D0777" w:rsidRPr="00C55588" w:rsidRDefault="000D0777" w:rsidP="00A934DC">
      <w:pPr>
        <w:pStyle w:val="FootnoteText"/>
      </w:pPr>
      <w:r w:rsidRPr="00C55588">
        <w:rPr>
          <w:rStyle w:val="FootnoteReference"/>
        </w:rPr>
        <w:footnoteRef/>
      </w:r>
      <w:r w:rsidRPr="00C55588">
        <w:t xml:space="preserve"> These non-binary gender identities are amalgamated in the table because some respondents used more than one term in describing their gender identity. </w:t>
      </w:r>
    </w:p>
  </w:footnote>
  <w:footnote w:id="15">
    <w:p w14:paraId="2E63FFBA" w14:textId="77777777" w:rsidR="000D0777" w:rsidRPr="00C55588" w:rsidRDefault="000D0777" w:rsidP="00A934DC">
      <w:pPr>
        <w:pStyle w:val="FootnoteText"/>
      </w:pPr>
      <w:r w:rsidRPr="00C55588">
        <w:rPr>
          <w:rStyle w:val="FootnoteReference"/>
        </w:rPr>
        <w:footnoteRef/>
      </w:r>
      <w:r w:rsidRPr="00C55588">
        <w:t xml:space="preserve"> Including one request for ‘She/her/Your Fierceness’.</w:t>
      </w:r>
    </w:p>
  </w:footnote>
  <w:footnote w:id="16">
    <w:p w14:paraId="66CAF84F" w14:textId="4D0E6254" w:rsidR="000D0777" w:rsidRPr="00C55588" w:rsidRDefault="000D0777" w:rsidP="003D0518">
      <w:pPr>
        <w:pStyle w:val="FootnoteText"/>
      </w:pPr>
      <w:r w:rsidRPr="00C55588">
        <w:rPr>
          <w:rStyle w:val="FootnoteReference"/>
        </w:rPr>
        <w:footnoteRef/>
      </w:r>
      <w:r w:rsidRPr="00C55588">
        <w:t xml:space="preserve"> This respondent had answered the pilot, which had a free-text field for gender but not a separate one for pronouns. The main survey included one, on his recommendation. He subsequently asked for his response to be included in the main survey results so that he would not have to fill it in again.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CE45BA"/>
    <w:multiLevelType w:val="hybridMultilevel"/>
    <w:tmpl w:val="5DF6F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3CE1553"/>
    <w:multiLevelType w:val="hybridMultilevel"/>
    <w:tmpl w:val="7A1E7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0BF589C"/>
    <w:multiLevelType w:val="hybridMultilevel"/>
    <w:tmpl w:val="63F4F6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C507F91"/>
    <w:multiLevelType w:val="hybridMultilevel"/>
    <w:tmpl w:val="78C22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70E"/>
    <w:rsid w:val="00014C28"/>
    <w:rsid w:val="0007294B"/>
    <w:rsid w:val="000729F1"/>
    <w:rsid w:val="000B2740"/>
    <w:rsid w:val="000B5834"/>
    <w:rsid w:val="000C79AF"/>
    <w:rsid w:val="000D0777"/>
    <w:rsid w:val="000F4928"/>
    <w:rsid w:val="000F5CC1"/>
    <w:rsid w:val="00100706"/>
    <w:rsid w:val="00117E37"/>
    <w:rsid w:val="0012369A"/>
    <w:rsid w:val="00125302"/>
    <w:rsid w:val="0013204B"/>
    <w:rsid w:val="00136771"/>
    <w:rsid w:val="00147D75"/>
    <w:rsid w:val="00187082"/>
    <w:rsid w:val="0019098A"/>
    <w:rsid w:val="00192065"/>
    <w:rsid w:val="001A404B"/>
    <w:rsid w:val="001B20C2"/>
    <w:rsid w:val="001B4E37"/>
    <w:rsid w:val="001C4E70"/>
    <w:rsid w:val="001E1F38"/>
    <w:rsid w:val="001E262C"/>
    <w:rsid w:val="001E3A2D"/>
    <w:rsid w:val="001F49EC"/>
    <w:rsid w:val="001F52C3"/>
    <w:rsid w:val="00216ADD"/>
    <w:rsid w:val="002218DF"/>
    <w:rsid w:val="002364A7"/>
    <w:rsid w:val="002450B3"/>
    <w:rsid w:val="002552CB"/>
    <w:rsid w:val="0026153C"/>
    <w:rsid w:val="002A4665"/>
    <w:rsid w:val="002C46DD"/>
    <w:rsid w:val="002C4C34"/>
    <w:rsid w:val="002F7090"/>
    <w:rsid w:val="00302D4F"/>
    <w:rsid w:val="00307BDC"/>
    <w:rsid w:val="0031460A"/>
    <w:rsid w:val="00323183"/>
    <w:rsid w:val="0034529A"/>
    <w:rsid w:val="00347D41"/>
    <w:rsid w:val="00350862"/>
    <w:rsid w:val="00365F0C"/>
    <w:rsid w:val="003736D4"/>
    <w:rsid w:val="00375175"/>
    <w:rsid w:val="00376347"/>
    <w:rsid w:val="003A5C51"/>
    <w:rsid w:val="003D0518"/>
    <w:rsid w:val="003D5BCF"/>
    <w:rsid w:val="00402F04"/>
    <w:rsid w:val="00432361"/>
    <w:rsid w:val="004374DE"/>
    <w:rsid w:val="00461885"/>
    <w:rsid w:val="00492DA0"/>
    <w:rsid w:val="004A00BC"/>
    <w:rsid w:val="004C62E9"/>
    <w:rsid w:val="005321FE"/>
    <w:rsid w:val="00541F8F"/>
    <w:rsid w:val="0054544D"/>
    <w:rsid w:val="005462A2"/>
    <w:rsid w:val="005513E8"/>
    <w:rsid w:val="00573EAF"/>
    <w:rsid w:val="00594A11"/>
    <w:rsid w:val="005A3470"/>
    <w:rsid w:val="006010AC"/>
    <w:rsid w:val="00622CE3"/>
    <w:rsid w:val="00630120"/>
    <w:rsid w:val="00633F13"/>
    <w:rsid w:val="00663BBC"/>
    <w:rsid w:val="00670C82"/>
    <w:rsid w:val="00676324"/>
    <w:rsid w:val="0069576D"/>
    <w:rsid w:val="006A6DF1"/>
    <w:rsid w:val="006C6F09"/>
    <w:rsid w:val="006D56F2"/>
    <w:rsid w:val="006E403E"/>
    <w:rsid w:val="006E4E6E"/>
    <w:rsid w:val="006E7C31"/>
    <w:rsid w:val="006F2CB2"/>
    <w:rsid w:val="006F37DF"/>
    <w:rsid w:val="00702775"/>
    <w:rsid w:val="007032CE"/>
    <w:rsid w:val="00716543"/>
    <w:rsid w:val="00734FCA"/>
    <w:rsid w:val="007435DB"/>
    <w:rsid w:val="00753F44"/>
    <w:rsid w:val="007571DB"/>
    <w:rsid w:val="00762C41"/>
    <w:rsid w:val="00777759"/>
    <w:rsid w:val="007950A6"/>
    <w:rsid w:val="007A4E9F"/>
    <w:rsid w:val="007B2EAE"/>
    <w:rsid w:val="007D1813"/>
    <w:rsid w:val="007D5FF4"/>
    <w:rsid w:val="007E643D"/>
    <w:rsid w:val="00801808"/>
    <w:rsid w:val="008143C3"/>
    <w:rsid w:val="008218D7"/>
    <w:rsid w:val="00841135"/>
    <w:rsid w:val="008851F0"/>
    <w:rsid w:val="00887965"/>
    <w:rsid w:val="0089147E"/>
    <w:rsid w:val="008D31BE"/>
    <w:rsid w:val="008D33DE"/>
    <w:rsid w:val="008D50F8"/>
    <w:rsid w:val="00910BC3"/>
    <w:rsid w:val="00910FBD"/>
    <w:rsid w:val="009216CE"/>
    <w:rsid w:val="0092397A"/>
    <w:rsid w:val="00960953"/>
    <w:rsid w:val="00962C3E"/>
    <w:rsid w:val="009924E5"/>
    <w:rsid w:val="0099797D"/>
    <w:rsid w:val="009A2D68"/>
    <w:rsid w:val="009B0B17"/>
    <w:rsid w:val="009C14F5"/>
    <w:rsid w:val="009D512C"/>
    <w:rsid w:val="009F22F4"/>
    <w:rsid w:val="009F75F3"/>
    <w:rsid w:val="009F79B0"/>
    <w:rsid w:val="00A20BA3"/>
    <w:rsid w:val="00A2633A"/>
    <w:rsid w:val="00A33B6E"/>
    <w:rsid w:val="00A42E39"/>
    <w:rsid w:val="00A633BE"/>
    <w:rsid w:val="00A70050"/>
    <w:rsid w:val="00A84F65"/>
    <w:rsid w:val="00A92341"/>
    <w:rsid w:val="00A934DC"/>
    <w:rsid w:val="00AB375D"/>
    <w:rsid w:val="00AC4941"/>
    <w:rsid w:val="00AE0AF5"/>
    <w:rsid w:val="00AE3BB2"/>
    <w:rsid w:val="00AF1578"/>
    <w:rsid w:val="00AF63A0"/>
    <w:rsid w:val="00B1574F"/>
    <w:rsid w:val="00B23427"/>
    <w:rsid w:val="00B37304"/>
    <w:rsid w:val="00B51369"/>
    <w:rsid w:val="00B56580"/>
    <w:rsid w:val="00B56B55"/>
    <w:rsid w:val="00B6176B"/>
    <w:rsid w:val="00B97118"/>
    <w:rsid w:val="00BB0EEE"/>
    <w:rsid w:val="00BE73FF"/>
    <w:rsid w:val="00C10519"/>
    <w:rsid w:val="00C12A83"/>
    <w:rsid w:val="00C2278F"/>
    <w:rsid w:val="00C3749E"/>
    <w:rsid w:val="00C55588"/>
    <w:rsid w:val="00C7787C"/>
    <w:rsid w:val="00C91DE2"/>
    <w:rsid w:val="00CA5312"/>
    <w:rsid w:val="00CB0B20"/>
    <w:rsid w:val="00CC62FC"/>
    <w:rsid w:val="00CC75B4"/>
    <w:rsid w:val="00CD4E2F"/>
    <w:rsid w:val="00CE28F9"/>
    <w:rsid w:val="00CE4EB0"/>
    <w:rsid w:val="00D0334D"/>
    <w:rsid w:val="00D0651C"/>
    <w:rsid w:val="00D124C0"/>
    <w:rsid w:val="00D21DCB"/>
    <w:rsid w:val="00D43BB0"/>
    <w:rsid w:val="00D72A02"/>
    <w:rsid w:val="00D77683"/>
    <w:rsid w:val="00D80170"/>
    <w:rsid w:val="00D85AE8"/>
    <w:rsid w:val="00DE1756"/>
    <w:rsid w:val="00E01608"/>
    <w:rsid w:val="00E03252"/>
    <w:rsid w:val="00E12D05"/>
    <w:rsid w:val="00E12D4E"/>
    <w:rsid w:val="00E30BF0"/>
    <w:rsid w:val="00E360B9"/>
    <w:rsid w:val="00E71984"/>
    <w:rsid w:val="00E96315"/>
    <w:rsid w:val="00EC1BD4"/>
    <w:rsid w:val="00EC1CFF"/>
    <w:rsid w:val="00EC47AC"/>
    <w:rsid w:val="00EC670E"/>
    <w:rsid w:val="00EC7005"/>
    <w:rsid w:val="00ED690B"/>
    <w:rsid w:val="00F40F44"/>
    <w:rsid w:val="00F42486"/>
    <w:rsid w:val="00F67CA4"/>
    <w:rsid w:val="00F7014B"/>
    <w:rsid w:val="00F95F7E"/>
    <w:rsid w:val="00FC105B"/>
    <w:rsid w:val="00FC62A9"/>
    <w:rsid w:val="00FE03E4"/>
    <w:rsid w:val="00FE6B8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02289F"/>
  <w15:chartTrackingRefBased/>
  <w15:docId w15:val="{97048C27-FCD2-4724-8C45-71896C1F5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98A"/>
    <w:pPr>
      <w:spacing w:after="0" w:line="240" w:lineRule="auto"/>
    </w:pPr>
    <w:rPr>
      <w:rFonts w:ascii="Gill Sans MT" w:hAnsi="Gill Sans MT"/>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C670E"/>
    <w:rPr>
      <w:sz w:val="16"/>
      <w:szCs w:val="16"/>
    </w:rPr>
  </w:style>
  <w:style w:type="paragraph" w:styleId="CommentText">
    <w:name w:val="annotation text"/>
    <w:basedOn w:val="Normal"/>
    <w:link w:val="CommentTextChar"/>
    <w:uiPriority w:val="99"/>
    <w:unhideWhenUsed/>
    <w:rsid w:val="00EC670E"/>
    <w:rPr>
      <w:sz w:val="20"/>
      <w:szCs w:val="20"/>
    </w:rPr>
  </w:style>
  <w:style w:type="character" w:customStyle="1" w:styleId="CommentTextChar">
    <w:name w:val="Comment Text Char"/>
    <w:basedOn w:val="DefaultParagraphFont"/>
    <w:link w:val="CommentText"/>
    <w:uiPriority w:val="99"/>
    <w:rsid w:val="00EC670E"/>
    <w:rPr>
      <w:sz w:val="20"/>
      <w:szCs w:val="20"/>
    </w:rPr>
  </w:style>
  <w:style w:type="paragraph" w:styleId="CommentSubject">
    <w:name w:val="annotation subject"/>
    <w:basedOn w:val="CommentText"/>
    <w:next w:val="CommentText"/>
    <w:link w:val="CommentSubjectChar"/>
    <w:uiPriority w:val="99"/>
    <w:semiHidden/>
    <w:unhideWhenUsed/>
    <w:rsid w:val="00EC670E"/>
    <w:rPr>
      <w:b/>
      <w:bCs/>
    </w:rPr>
  </w:style>
  <w:style w:type="character" w:customStyle="1" w:styleId="CommentSubjectChar">
    <w:name w:val="Comment Subject Char"/>
    <w:basedOn w:val="CommentTextChar"/>
    <w:link w:val="CommentSubject"/>
    <w:uiPriority w:val="99"/>
    <w:semiHidden/>
    <w:rsid w:val="00EC670E"/>
    <w:rPr>
      <w:b/>
      <w:bCs/>
      <w:sz w:val="20"/>
      <w:szCs w:val="20"/>
    </w:rPr>
  </w:style>
  <w:style w:type="paragraph" w:styleId="BalloonText">
    <w:name w:val="Balloon Text"/>
    <w:basedOn w:val="Normal"/>
    <w:link w:val="BalloonTextChar"/>
    <w:uiPriority w:val="99"/>
    <w:semiHidden/>
    <w:unhideWhenUsed/>
    <w:rsid w:val="00EC67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670E"/>
    <w:rPr>
      <w:rFonts w:ascii="Segoe UI" w:hAnsi="Segoe UI" w:cs="Segoe UI"/>
      <w:sz w:val="18"/>
      <w:szCs w:val="18"/>
    </w:rPr>
  </w:style>
  <w:style w:type="paragraph" w:styleId="ListParagraph">
    <w:name w:val="List Paragraph"/>
    <w:basedOn w:val="Normal"/>
    <w:uiPriority w:val="34"/>
    <w:qFormat/>
    <w:rsid w:val="00F40F44"/>
    <w:pPr>
      <w:ind w:left="720"/>
      <w:contextualSpacing/>
      <w:jc w:val="both"/>
    </w:pPr>
    <w:rPr>
      <w:rFonts w:eastAsia="Times New Roman" w:cs="Times New Roman"/>
      <w:szCs w:val="20"/>
      <w:lang w:eastAsia="en-US"/>
    </w:rPr>
  </w:style>
  <w:style w:type="character" w:styleId="Hyperlink">
    <w:name w:val="Hyperlink"/>
    <w:basedOn w:val="DefaultParagraphFont"/>
    <w:uiPriority w:val="99"/>
    <w:unhideWhenUsed/>
    <w:rsid w:val="00E30BF0"/>
    <w:rPr>
      <w:color w:val="0563C1" w:themeColor="hyperlink"/>
      <w:u w:val="single"/>
    </w:rPr>
  </w:style>
  <w:style w:type="table" w:styleId="TableGrid">
    <w:name w:val="Table Grid"/>
    <w:basedOn w:val="TableNormal"/>
    <w:uiPriority w:val="39"/>
    <w:rsid w:val="00EC7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EC7005"/>
    <w:rPr>
      <w:sz w:val="20"/>
      <w:szCs w:val="20"/>
    </w:rPr>
  </w:style>
  <w:style w:type="character" w:customStyle="1" w:styleId="FootnoteTextChar">
    <w:name w:val="Footnote Text Char"/>
    <w:basedOn w:val="DefaultParagraphFont"/>
    <w:link w:val="FootnoteText"/>
    <w:uiPriority w:val="99"/>
    <w:semiHidden/>
    <w:rsid w:val="00EC7005"/>
    <w:rPr>
      <w:rFonts w:ascii="Times New Roman" w:hAnsi="Times New Roman"/>
      <w:sz w:val="20"/>
      <w:szCs w:val="20"/>
    </w:rPr>
  </w:style>
  <w:style w:type="character" w:styleId="FootnoteReference">
    <w:name w:val="footnote reference"/>
    <w:basedOn w:val="DefaultParagraphFont"/>
    <w:uiPriority w:val="99"/>
    <w:semiHidden/>
    <w:unhideWhenUsed/>
    <w:rsid w:val="00EC7005"/>
    <w:rPr>
      <w:vertAlign w:val="superscript"/>
    </w:rPr>
  </w:style>
  <w:style w:type="character" w:styleId="FollowedHyperlink">
    <w:name w:val="FollowedHyperlink"/>
    <w:basedOn w:val="DefaultParagraphFont"/>
    <w:uiPriority w:val="99"/>
    <w:semiHidden/>
    <w:unhideWhenUsed/>
    <w:rsid w:val="00B37304"/>
    <w:rPr>
      <w:color w:val="954F72" w:themeColor="followedHyperlink"/>
      <w:u w:val="single"/>
    </w:rPr>
  </w:style>
  <w:style w:type="paragraph" w:styleId="Header">
    <w:name w:val="header"/>
    <w:basedOn w:val="Normal"/>
    <w:link w:val="HeaderChar"/>
    <w:uiPriority w:val="99"/>
    <w:unhideWhenUsed/>
    <w:rsid w:val="005A3470"/>
    <w:pPr>
      <w:tabs>
        <w:tab w:val="center" w:pos="4513"/>
        <w:tab w:val="right" w:pos="9026"/>
      </w:tabs>
    </w:pPr>
  </w:style>
  <w:style w:type="character" w:customStyle="1" w:styleId="HeaderChar">
    <w:name w:val="Header Char"/>
    <w:basedOn w:val="DefaultParagraphFont"/>
    <w:link w:val="Header"/>
    <w:uiPriority w:val="99"/>
    <w:rsid w:val="005A3470"/>
    <w:rPr>
      <w:rFonts w:ascii="Times New Roman" w:hAnsi="Times New Roman"/>
      <w:sz w:val="24"/>
    </w:rPr>
  </w:style>
  <w:style w:type="paragraph" w:styleId="Footer">
    <w:name w:val="footer"/>
    <w:basedOn w:val="Normal"/>
    <w:link w:val="FooterChar"/>
    <w:uiPriority w:val="99"/>
    <w:unhideWhenUsed/>
    <w:rsid w:val="005A3470"/>
    <w:pPr>
      <w:tabs>
        <w:tab w:val="center" w:pos="4513"/>
        <w:tab w:val="right" w:pos="9026"/>
      </w:tabs>
    </w:pPr>
  </w:style>
  <w:style w:type="character" w:customStyle="1" w:styleId="FooterChar">
    <w:name w:val="Footer Char"/>
    <w:basedOn w:val="DefaultParagraphFont"/>
    <w:link w:val="Footer"/>
    <w:uiPriority w:val="99"/>
    <w:rsid w:val="005A3470"/>
    <w:rPr>
      <w:rFonts w:ascii="Times New Roman" w:hAnsi="Times New Roman"/>
      <w:sz w:val="24"/>
    </w:rPr>
  </w:style>
  <w:style w:type="paragraph" w:styleId="PlainText">
    <w:name w:val="Plain Text"/>
    <w:basedOn w:val="Normal"/>
    <w:link w:val="PlainTextChar"/>
    <w:uiPriority w:val="99"/>
    <w:semiHidden/>
    <w:unhideWhenUsed/>
    <w:rsid w:val="00670C82"/>
    <w:rPr>
      <w:rFonts w:ascii="Calibri" w:hAnsi="Calibri"/>
      <w:sz w:val="22"/>
      <w:szCs w:val="21"/>
    </w:rPr>
  </w:style>
  <w:style w:type="character" w:customStyle="1" w:styleId="PlainTextChar">
    <w:name w:val="Plain Text Char"/>
    <w:basedOn w:val="DefaultParagraphFont"/>
    <w:link w:val="PlainText"/>
    <w:uiPriority w:val="99"/>
    <w:semiHidden/>
    <w:rsid w:val="00670C82"/>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5869476">
      <w:bodyDiv w:val="1"/>
      <w:marLeft w:val="0"/>
      <w:marRight w:val="0"/>
      <w:marTop w:val="0"/>
      <w:marBottom w:val="0"/>
      <w:divBdr>
        <w:top w:val="none" w:sz="0" w:space="0" w:color="auto"/>
        <w:left w:val="none" w:sz="0" w:space="0" w:color="auto"/>
        <w:bottom w:val="none" w:sz="0" w:space="0" w:color="auto"/>
        <w:right w:val="none" w:sz="0" w:space="0" w:color="auto"/>
      </w:divBdr>
      <w:divsChild>
        <w:div w:id="329984649">
          <w:marLeft w:val="0"/>
          <w:marRight w:val="0"/>
          <w:marTop w:val="0"/>
          <w:marBottom w:val="0"/>
          <w:divBdr>
            <w:top w:val="none" w:sz="0" w:space="0" w:color="auto"/>
            <w:left w:val="none" w:sz="0" w:space="0" w:color="auto"/>
            <w:bottom w:val="none" w:sz="0" w:space="0" w:color="auto"/>
            <w:right w:val="none" w:sz="0" w:space="0" w:color="auto"/>
          </w:divBdr>
        </w:div>
        <w:div w:id="1618020838">
          <w:marLeft w:val="0"/>
          <w:marRight w:val="0"/>
          <w:marTop w:val="0"/>
          <w:marBottom w:val="0"/>
          <w:divBdr>
            <w:top w:val="none" w:sz="0" w:space="0" w:color="auto"/>
            <w:left w:val="none" w:sz="0" w:space="0" w:color="auto"/>
            <w:bottom w:val="none" w:sz="0" w:space="0" w:color="auto"/>
            <w:right w:val="none" w:sz="0" w:space="0" w:color="auto"/>
          </w:divBdr>
        </w:div>
        <w:div w:id="1162815371">
          <w:marLeft w:val="0"/>
          <w:marRight w:val="0"/>
          <w:marTop w:val="0"/>
          <w:marBottom w:val="0"/>
          <w:divBdr>
            <w:top w:val="none" w:sz="0" w:space="0" w:color="auto"/>
            <w:left w:val="none" w:sz="0" w:space="0" w:color="auto"/>
            <w:bottom w:val="none" w:sz="0" w:space="0" w:color="auto"/>
            <w:right w:val="none" w:sz="0" w:space="0" w:color="auto"/>
          </w:divBdr>
        </w:div>
        <w:div w:id="297075719">
          <w:marLeft w:val="0"/>
          <w:marRight w:val="0"/>
          <w:marTop w:val="0"/>
          <w:marBottom w:val="0"/>
          <w:divBdr>
            <w:top w:val="none" w:sz="0" w:space="0" w:color="auto"/>
            <w:left w:val="none" w:sz="0" w:space="0" w:color="auto"/>
            <w:bottom w:val="none" w:sz="0" w:space="0" w:color="auto"/>
            <w:right w:val="none" w:sz="0" w:space="0" w:color="auto"/>
          </w:divBdr>
        </w:div>
        <w:div w:id="2140949507">
          <w:marLeft w:val="0"/>
          <w:marRight w:val="0"/>
          <w:marTop w:val="0"/>
          <w:marBottom w:val="0"/>
          <w:divBdr>
            <w:top w:val="none" w:sz="0" w:space="0" w:color="auto"/>
            <w:left w:val="none" w:sz="0" w:space="0" w:color="auto"/>
            <w:bottom w:val="none" w:sz="0" w:space="0" w:color="auto"/>
            <w:right w:val="none" w:sz="0" w:space="0" w:color="auto"/>
          </w:divBdr>
        </w:div>
      </w:divsChild>
    </w:div>
    <w:div w:id="2080518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ndfonline.com/doi/abs/10.1080/19419899.2013.830640" TargetMode="External"/><Relationship Id="rId13" Type="http://schemas.openxmlformats.org/officeDocument/2006/relationships/hyperlink" Target="http://www.nus.org.uk/en/who-we-are/how-we-work/lesbian-gay-bisexual-and-trans/" TargetMode="External"/><Relationship Id="rId18" Type="http://schemas.openxmlformats.org/officeDocument/2006/relationships/hyperlink" Target="http://www.shu.ac.uk/_assets/pdf/freshers-to-finals-end-report.pdf" TargetMode="External"/><Relationship Id="rId26" Type="http://schemas.openxmlformats.org/officeDocument/2006/relationships/hyperlink" Target="http://www.ecu.ac.uk/wp-content/uploads/external/Experiences-of-lgbt-staff-and-students-in-he.doc" TargetMode="External"/><Relationship Id="rId3" Type="http://schemas.openxmlformats.org/officeDocument/2006/relationships/styles" Target="styles.xml"/><Relationship Id="rId21" Type="http://schemas.openxmlformats.org/officeDocument/2006/relationships/hyperlink" Target="http://www.ecu.ac.uk/wp-content/uploads/external/trans-staff-and-students-in-he-revised-2010.pdf" TargetMode="External"/><Relationship Id="rId7" Type="http://schemas.openxmlformats.org/officeDocument/2006/relationships/endnotes" Target="endnotes.xml"/><Relationship Id="rId12" Type="http://schemas.openxmlformats.org/officeDocument/2006/relationships/hyperlink" Target="http://ntyn.org.uk" TargetMode="External"/><Relationship Id="rId17" Type="http://schemas.openxmlformats.org/officeDocument/2006/relationships/hyperlink" Target="http://web.archive.org/web/20140516152759/http://www.nus.org.uk/Global/lgbt-research.pdf" TargetMode="External"/><Relationship Id="rId25" Type="http://schemas.openxmlformats.org/officeDocument/2006/relationships/hyperlink" Target="http://uktrans.info/attachments/article/377/terminology-survey-results.pdf" TargetMode="External"/><Relationship Id="rId2" Type="http://schemas.openxmlformats.org/officeDocument/2006/relationships/numbering" Target="numbering.xml"/><Relationship Id="rId16" Type="http://schemas.openxmlformats.org/officeDocument/2006/relationships/hyperlink" Target="http://uktrans.info/transition/39-resources-for-schools" TargetMode="External"/><Relationship Id="rId20" Type="http://schemas.openxmlformats.org/officeDocument/2006/relationships/hyperlink" Target="http://www.youthchances.org/wp-content/uploads/2011/03/YouthChancesSurvey-16-25yearOlds_FirstReferenceReport.pdf"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ires.org.uk/whatwedo" TargetMode="External"/><Relationship Id="rId24" Type="http://schemas.openxmlformats.org/officeDocument/2006/relationships/hyperlink" Target="http://time.com/135480/transgender-tipping-point/" TargetMode="External"/><Relationship Id="rId5" Type="http://schemas.openxmlformats.org/officeDocument/2006/relationships/webSettings" Target="webSettings.xml"/><Relationship Id="rId15" Type="http://schemas.openxmlformats.org/officeDocument/2006/relationships/hyperlink" Target="https://transgenderni.com/" TargetMode="External"/><Relationship Id="rId23" Type="http://schemas.openxmlformats.org/officeDocument/2006/relationships/hyperlink" Target="https://www.heacademy.ac.uk/sites/default/files/resources/embedding_wp_business_case_approach_july07.pdf" TargetMode="External"/><Relationship Id="rId28" Type="http://schemas.openxmlformats.org/officeDocument/2006/relationships/footer" Target="footer1.xml"/><Relationship Id="rId10" Type="http://schemas.openxmlformats.org/officeDocument/2006/relationships/hyperlink" Target="http://genderedintelligence.co.uk/professionals/education" TargetMode="External"/><Relationship Id="rId19" Type="http://schemas.openxmlformats.org/officeDocument/2006/relationships/hyperlink" Target="https://www.lgbtyouth.org.uk/files/documents/Life_in_Scotland_for_LGBT_Young_People_-_Education_Report_NEW.pdf"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ecu.ac.uk/guidance-resources/inclusive-environment/providing-support/trans-people/" TargetMode="External"/><Relationship Id="rId14" Type="http://schemas.openxmlformats.org/officeDocument/2006/relationships/hyperlink" Target="http://www.scottishtrans.org/resources/" TargetMode="External"/><Relationship Id="rId22" Type="http://schemas.openxmlformats.org/officeDocument/2006/relationships/hyperlink" Target="http://journal.code4lib.org/articles/10425" TargetMode="External"/><Relationship Id="rId27" Type="http://schemas.openxmlformats.org/officeDocument/2006/relationships/hyperlink" Target="http://www.transadvocate.com/gender-performance-the-transadvocate-interviews-judith-butler_n_13652.htm" TargetMode="External"/><Relationship Id="rId30"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data.parliament.uk/writtenevidence/committeeevidence.svc/evidencedocument/women-and-equalities-committee/transgender-equality/written/19362.html" TargetMode="External"/><Relationship Id="rId1" Type="http://schemas.openxmlformats.org/officeDocument/2006/relationships/hyperlink" Target="http://data.parliament.uk/writtenevidence/committeeevidence.svc/evidencedocument/women-and-equalities-committee/transgender-equality/written/19608.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786E69-E9AB-403A-B37B-B72C8B38D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292</TotalTime>
  <Pages>24</Pages>
  <Words>11373</Words>
  <Characters>64827</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
    </vt:vector>
  </TitlesOfParts>
  <Company>University of Hull</Company>
  <LinksUpToDate>false</LinksUpToDate>
  <CharactersWithSpaces>76048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Baker</dc:creator>
  <cp:keywords/>
  <dc:description/>
  <cp:lastModifiedBy>Catherine Baker</cp:lastModifiedBy>
  <cp:revision>11</cp:revision>
  <dcterms:created xsi:type="dcterms:W3CDTF">2015-11-28T16:26:00Z</dcterms:created>
  <dcterms:modified xsi:type="dcterms:W3CDTF">2016-07-13T16:52:00Z</dcterms:modified>
</cp:coreProperties>
</file>