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B2B32" w14:textId="257EB7DC" w:rsidR="00D061CF" w:rsidRPr="002C4285" w:rsidRDefault="00386364" w:rsidP="00D061CF">
      <w:pPr>
        <w:pStyle w:val="Title"/>
        <w:spacing w:line="480" w:lineRule="auto"/>
        <w:jc w:val="center"/>
        <w:rPr>
          <w:rFonts w:ascii="Times New Roman" w:eastAsia="Verdana" w:hAnsi="Times New Roman" w:cs="Times New Roman"/>
        </w:rPr>
      </w:pPr>
      <w:bookmarkStart w:id="0" w:name="_GoBack"/>
      <w:bookmarkEnd w:id="0"/>
      <w:r>
        <w:rPr>
          <w:rFonts w:ascii="Times New Roman" w:eastAsia="Verdana" w:hAnsi="Times New Roman" w:cs="Times New Roman"/>
        </w:rPr>
        <w:t xml:space="preserve">CAMERA - </w:t>
      </w:r>
      <w:r w:rsidR="00D061CF" w:rsidRPr="002C4285">
        <w:rPr>
          <w:rFonts w:ascii="Times New Roman" w:eastAsia="Verdana" w:hAnsi="Times New Roman" w:cs="Times New Roman"/>
        </w:rPr>
        <w:t xml:space="preserve">Complete Assessment </w:t>
      </w:r>
      <w:proofErr w:type="gramStart"/>
      <w:r w:rsidR="00D061CF" w:rsidRPr="002C4285">
        <w:rPr>
          <w:rFonts w:ascii="Times New Roman" w:eastAsia="Verdana" w:hAnsi="Times New Roman" w:cs="Times New Roman"/>
        </w:rPr>
        <w:t xml:space="preserve">of </w:t>
      </w:r>
      <w:r w:rsidR="002C7C66">
        <w:rPr>
          <w:rFonts w:ascii="Times New Roman" w:eastAsia="Verdana" w:hAnsi="Times New Roman" w:cs="Times New Roman"/>
        </w:rPr>
        <w:t xml:space="preserve"> Older</w:t>
      </w:r>
      <w:proofErr w:type="gramEnd"/>
      <w:r w:rsidR="002C7C66">
        <w:rPr>
          <w:rFonts w:ascii="Times New Roman" w:eastAsia="Verdana" w:hAnsi="Times New Roman" w:cs="Times New Roman"/>
        </w:rPr>
        <w:t xml:space="preserve"> Patients with Cancer</w:t>
      </w:r>
      <w:r w:rsidR="00D061CF" w:rsidRPr="002C4285">
        <w:rPr>
          <w:rFonts w:ascii="Times New Roman" w:eastAsia="Verdana" w:hAnsi="Times New Roman" w:cs="Times New Roman"/>
        </w:rPr>
        <w:t>: A Non-randomised Feasibility Study.</w:t>
      </w:r>
    </w:p>
    <w:p w14:paraId="1B54FB5B" w14:textId="77777777" w:rsidR="00D061CF" w:rsidRPr="002C4285" w:rsidRDefault="00D061CF" w:rsidP="00D061CF">
      <w:pPr>
        <w:spacing w:line="480" w:lineRule="auto"/>
        <w:rPr>
          <w:rFonts w:ascii="Times New Roman" w:hAnsi="Times New Roman" w:cs="Times New Roman"/>
        </w:rPr>
      </w:pPr>
    </w:p>
    <w:p w14:paraId="263B828A" w14:textId="77777777" w:rsidR="00D061CF" w:rsidRPr="002C4285" w:rsidRDefault="00D061CF" w:rsidP="00D061CF">
      <w:pPr>
        <w:spacing w:line="480" w:lineRule="auto"/>
        <w:rPr>
          <w:rFonts w:ascii="Times New Roman" w:hAnsi="Times New Roman" w:cs="Times New Roman"/>
        </w:rPr>
      </w:pPr>
    </w:p>
    <w:p w14:paraId="540BAF9D" w14:textId="37F6AEC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Gillian Jackson</w:t>
      </w:r>
      <w:r w:rsidRPr="002C4285">
        <w:rPr>
          <w:rFonts w:ascii="Times New Roman" w:hAnsi="Times New Roman" w:cs="Times New Roman"/>
          <w:sz w:val="24"/>
          <w:szCs w:val="24"/>
          <w:vertAlign w:val="superscript"/>
        </w:rPr>
        <w:t>1</w:t>
      </w:r>
      <w:r w:rsidRPr="002C4285">
        <w:rPr>
          <w:rFonts w:ascii="Times New Roman" w:hAnsi="Times New Roman" w:cs="Times New Roman"/>
          <w:sz w:val="24"/>
          <w:szCs w:val="24"/>
        </w:rPr>
        <w:t>, Rhian Gabe</w:t>
      </w:r>
      <w:r w:rsidRPr="002C4285">
        <w:rPr>
          <w:rFonts w:ascii="Times New Roman" w:hAnsi="Times New Roman" w:cs="Times New Roman"/>
          <w:sz w:val="24"/>
          <w:szCs w:val="24"/>
          <w:vertAlign w:val="superscript"/>
        </w:rPr>
        <w:t>2</w:t>
      </w:r>
      <w:r w:rsidRPr="002C4285">
        <w:rPr>
          <w:rFonts w:ascii="Times New Roman" w:hAnsi="Times New Roman" w:cs="Times New Roman"/>
          <w:sz w:val="24"/>
          <w:szCs w:val="24"/>
        </w:rPr>
        <w:t>, Miriam Johnson</w:t>
      </w:r>
      <w:r w:rsidRPr="002C4285">
        <w:rPr>
          <w:rFonts w:ascii="Times New Roman" w:hAnsi="Times New Roman" w:cs="Times New Roman"/>
          <w:sz w:val="24"/>
          <w:szCs w:val="24"/>
          <w:vertAlign w:val="superscript"/>
        </w:rPr>
        <w:t>1</w:t>
      </w:r>
      <w:r w:rsidRPr="002C4285">
        <w:rPr>
          <w:rFonts w:ascii="Times New Roman" w:hAnsi="Times New Roman" w:cs="Times New Roman"/>
          <w:sz w:val="24"/>
          <w:szCs w:val="24"/>
        </w:rPr>
        <w:t>, Kathryn Date</w:t>
      </w:r>
      <w:r w:rsidRPr="002C4285">
        <w:rPr>
          <w:rFonts w:ascii="Times New Roman" w:hAnsi="Times New Roman" w:cs="Times New Roman"/>
          <w:sz w:val="24"/>
          <w:szCs w:val="24"/>
          <w:vertAlign w:val="superscript"/>
        </w:rPr>
        <w:t>1</w:t>
      </w:r>
      <w:r w:rsidRPr="002C4285">
        <w:rPr>
          <w:rFonts w:ascii="Times New Roman" w:hAnsi="Times New Roman" w:cs="Times New Roman"/>
          <w:sz w:val="24"/>
          <w:szCs w:val="24"/>
        </w:rPr>
        <w:t>, Dan</w:t>
      </w:r>
      <w:r w:rsidR="000020A1">
        <w:rPr>
          <w:rFonts w:ascii="Times New Roman" w:hAnsi="Times New Roman" w:cs="Times New Roman"/>
          <w:sz w:val="24"/>
          <w:szCs w:val="24"/>
        </w:rPr>
        <w:t>iel</w:t>
      </w:r>
      <w:r w:rsidRPr="002C4285">
        <w:rPr>
          <w:rFonts w:ascii="Times New Roman" w:hAnsi="Times New Roman" w:cs="Times New Roman"/>
          <w:sz w:val="24"/>
          <w:szCs w:val="24"/>
        </w:rPr>
        <w:t xml:space="preserve"> Harman</w:t>
      </w:r>
      <w:r w:rsidRPr="002C4285">
        <w:rPr>
          <w:rFonts w:ascii="Times New Roman" w:hAnsi="Times New Roman" w:cs="Times New Roman"/>
          <w:sz w:val="24"/>
          <w:szCs w:val="24"/>
          <w:vertAlign w:val="superscript"/>
        </w:rPr>
        <w:t>3</w:t>
      </w:r>
      <w:r w:rsidRPr="002C4285">
        <w:rPr>
          <w:rFonts w:ascii="Times New Roman" w:hAnsi="Times New Roman" w:cs="Times New Roman"/>
          <w:sz w:val="24"/>
          <w:szCs w:val="24"/>
        </w:rPr>
        <w:t>, Anthony Maraveyas</w:t>
      </w:r>
      <w:r w:rsidRPr="002C4285">
        <w:rPr>
          <w:rFonts w:ascii="Times New Roman" w:hAnsi="Times New Roman" w:cs="Times New Roman"/>
          <w:sz w:val="24"/>
          <w:szCs w:val="24"/>
          <w:vertAlign w:val="superscript"/>
        </w:rPr>
        <w:t>4</w:t>
      </w:r>
      <w:r w:rsidRPr="002C4285">
        <w:rPr>
          <w:rFonts w:ascii="Times New Roman" w:hAnsi="Times New Roman" w:cs="Times New Roman"/>
          <w:sz w:val="24"/>
          <w:szCs w:val="24"/>
        </w:rPr>
        <w:t xml:space="preserve">, </w:t>
      </w:r>
      <w:proofErr w:type="spellStart"/>
      <w:r w:rsidRPr="002C4285">
        <w:rPr>
          <w:rFonts w:ascii="Times New Roman" w:hAnsi="Times New Roman" w:cs="Times New Roman"/>
          <w:sz w:val="24"/>
          <w:szCs w:val="24"/>
        </w:rPr>
        <w:t>Rajarshi</w:t>
      </w:r>
      <w:proofErr w:type="spellEnd"/>
      <w:r w:rsidRPr="002C4285">
        <w:rPr>
          <w:rFonts w:ascii="Times New Roman" w:hAnsi="Times New Roman" w:cs="Times New Roman"/>
          <w:sz w:val="24"/>
          <w:szCs w:val="24"/>
        </w:rPr>
        <w:t xml:space="preserve"> Roy</w:t>
      </w:r>
      <w:r w:rsidRPr="002C4285">
        <w:rPr>
          <w:rFonts w:ascii="Times New Roman" w:hAnsi="Times New Roman" w:cs="Times New Roman"/>
          <w:sz w:val="24"/>
          <w:szCs w:val="24"/>
          <w:vertAlign w:val="superscript"/>
        </w:rPr>
        <w:t>4</w:t>
      </w:r>
      <w:r w:rsidRPr="002C4285">
        <w:rPr>
          <w:rFonts w:ascii="Times New Roman" w:hAnsi="Times New Roman" w:cs="Times New Roman"/>
          <w:sz w:val="24"/>
          <w:szCs w:val="24"/>
        </w:rPr>
        <w:t>, Michael J Lind</w:t>
      </w:r>
      <w:r w:rsidRPr="002C4285">
        <w:rPr>
          <w:rFonts w:ascii="Times New Roman" w:hAnsi="Times New Roman" w:cs="Times New Roman"/>
          <w:sz w:val="24"/>
          <w:szCs w:val="24"/>
          <w:vertAlign w:val="superscript"/>
        </w:rPr>
        <w:t>1</w:t>
      </w:r>
      <w:r w:rsidRPr="002C4285">
        <w:rPr>
          <w:rFonts w:ascii="Times New Roman" w:hAnsi="Times New Roman" w:cs="Times New Roman"/>
          <w:sz w:val="24"/>
          <w:szCs w:val="24"/>
        </w:rPr>
        <w:t>.</w:t>
      </w:r>
    </w:p>
    <w:p w14:paraId="5F5CFED0" w14:textId="77777777" w:rsidR="00D061CF" w:rsidRPr="002C4285" w:rsidRDefault="00D061CF" w:rsidP="00D061CF">
      <w:pPr>
        <w:spacing w:line="480" w:lineRule="auto"/>
        <w:rPr>
          <w:rFonts w:ascii="Times New Roman" w:hAnsi="Times New Roman" w:cs="Times New Roman"/>
          <w:sz w:val="24"/>
          <w:szCs w:val="24"/>
        </w:rPr>
      </w:pPr>
    </w:p>
    <w:p w14:paraId="0DA8572B" w14:textId="77777777" w:rsidR="00D061CF" w:rsidRPr="002C4285" w:rsidRDefault="00D061CF" w:rsidP="00D061CF">
      <w:pPr>
        <w:pStyle w:val="ListParagraph"/>
        <w:numPr>
          <w:ilvl w:val="0"/>
          <w:numId w:val="1"/>
        </w:numPr>
        <w:spacing w:line="480" w:lineRule="auto"/>
        <w:rPr>
          <w:rFonts w:ascii="Times New Roman" w:hAnsi="Times New Roman" w:cs="Times New Roman"/>
          <w:sz w:val="24"/>
          <w:szCs w:val="24"/>
        </w:rPr>
      </w:pPr>
      <w:r w:rsidRPr="002C4285">
        <w:rPr>
          <w:rFonts w:ascii="Times New Roman" w:hAnsi="Times New Roman" w:cs="Times New Roman"/>
          <w:sz w:val="24"/>
          <w:szCs w:val="24"/>
        </w:rPr>
        <w:t>Hull York Medical School</w:t>
      </w:r>
    </w:p>
    <w:p w14:paraId="0E24CBCA"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University of Hull</w:t>
      </w:r>
    </w:p>
    <w:p w14:paraId="34AABC94" w14:textId="77777777" w:rsidR="00D061CF" w:rsidRPr="002C4285" w:rsidRDefault="00D061CF" w:rsidP="00D061CF">
      <w:pPr>
        <w:pStyle w:val="ListParagraph"/>
        <w:spacing w:line="480" w:lineRule="auto"/>
        <w:rPr>
          <w:rFonts w:ascii="Times New Roman" w:hAnsi="Times New Roman" w:cs="Times New Roman"/>
          <w:sz w:val="24"/>
          <w:szCs w:val="24"/>
        </w:rPr>
      </w:pPr>
      <w:proofErr w:type="spellStart"/>
      <w:r w:rsidRPr="002C4285">
        <w:rPr>
          <w:rFonts w:ascii="Times New Roman" w:hAnsi="Times New Roman" w:cs="Times New Roman"/>
          <w:sz w:val="24"/>
          <w:szCs w:val="24"/>
        </w:rPr>
        <w:t>Cottingham</w:t>
      </w:r>
      <w:proofErr w:type="spellEnd"/>
      <w:r w:rsidRPr="002C4285">
        <w:rPr>
          <w:rFonts w:ascii="Times New Roman" w:hAnsi="Times New Roman" w:cs="Times New Roman"/>
          <w:sz w:val="24"/>
          <w:szCs w:val="24"/>
        </w:rPr>
        <w:t xml:space="preserve"> Road</w:t>
      </w:r>
    </w:p>
    <w:p w14:paraId="15115C73"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Hull</w:t>
      </w:r>
    </w:p>
    <w:p w14:paraId="561463B8"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HU6 7RX</w:t>
      </w:r>
    </w:p>
    <w:p w14:paraId="67426FAB" w14:textId="77777777" w:rsidR="00D061CF" w:rsidRPr="002C4285" w:rsidRDefault="00D061CF" w:rsidP="00D061CF">
      <w:pPr>
        <w:pStyle w:val="ListParagraph"/>
        <w:spacing w:line="480" w:lineRule="auto"/>
        <w:rPr>
          <w:rFonts w:ascii="Times New Roman" w:hAnsi="Times New Roman" w:cs="Times New Roman"/>
          <w:sz w:val="24"/>
          <w:szCs w:val="24"/>
        </w:rPr>
      </w:pPr>
    </w:p>
    <w:p w14:paraId="7AC2ED8D" w14:textId="77777777" w:rsidR="00D061CF" w:rsidRPr="002C4285" w:rsidRDefault="00D061CF" w:rsidP="00D061CF">
      <w:pPr>
        <w:pStyle w:val="ListParagraph"/>
        <w:numPr>
          <w:ilvl w:val="0"/>
          <w:numId w:val="1"/>
        </w:numPr>
        <w:spacing w:line="480" w:lineRule="auto"/>
        <w:rPr>
          <w:rFonts w:ascii="Times New Roman" w:hAnsi="Times New Roman" w:cs="Times New Roman"/>
          <w:sz w:val="24"/>
          <w:szCs w:val="24"/>
        </w:rPr>
      </w:pPr>
      <w:r w:rsidRPr="002C4285">
        <w:rPr>
          <w:rFonts w:ascii="Times New Roman" w:hAnsi="Times New Roman" w:cs="Times New Roman"/>
          <w:sz w:val="24"/>
          <w:szCs w:val="24"/>
        </w:rPr>
        <w:t>University of York</w:t>
      </w:r>
    </w:p>
    <w:p w14:paraId="232032C9" w14:textId="77777777" w:rsidR="00D061CF" w:rsidRPr="002C4285" w:rsidRDefault="00D061CF" w:rsidP="00D061CF">
      <w:pPr>
        <w:pStyle w:val="ListParagraph"/>
        <w:spacing w:line="480" w:lineRule="auto"/>
        <w:rPr>
          <w:rFonts w:ascii="Times New Roman" w:hAnsi="Times New Roman" w:cs="Times New Roman"/>
          <w:sz w:val="24"/>
          <w:szCs w:val="24"/>
        </w:rPr>
      </w:pPr>
      <w:proofErr w:type="spellStart"/>
      <w:r w:rsidRPr="002C4285">
        <w:rPr>
          <w:rFonts w:ascii="Times New Roman" w:hAnsi="Times New Roman" w:cs="Times New Roman"/>
          <w:sz w:val="24"/>
          <w:szCs w:val="24"/>
        </w:rPr>
        <w:lastRenderedPageBreak/>
        <w:t>Heslington</w:t>
      </w:r>
      <w:proofErr w:type="spellEnd"/>
    </w:p>
    <w:p w14:paraId="2549068A"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York</w:t>
      </w:r>
    </w:p>
    <w:p w14:paraId="7D8C947A"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YO10 5DD</w:t>
      </w:r>
    </w:p>
    <w:p w14:paraId="1528FCF1" w14:textId="77777777" w:rsidR="00D061CF" w:rsidRPr="002C4285" w:rsidRDefault="00D061CF" w:rsidP="00D061CF">
      <w:pPr>
        <w:pStyle w:val="ListParagraph"/>
        <w:spacing w:line="480" w:lineRule="auto"/>
        <w:rPr>
          <w:rFonts w:ascii="Times New Roman" w:hAnsi="Times New Roman" w:cs="Times New Roman"/>
          <w:sz w:val="24"/>
          <w:szCs w:val="24"/>
        </w:rPr>
      </w:pPr>
    </w:p>
    <w:p w14:paraId="607C5D53" w14:textId="77777777" w:rsidR="00D061CF" w:rsidRPr="002C4285" w:rsidRDefault="00D061CF" w:rsidP="00D061CF">
      <w:pPr>
        <w:pStyle w:val="ListParagraph"/>
        <w:numPr>
          <w:ilvl w:val="0"/>
          <w:numId w:val="1"/>
        </w:numPr>
        <w:spacing w:line="480" w:lineRule="auto"/>
        <w:rPr>
          <w:rFonts w:ascii="Times New Roman" w:hAnsi="Times New Roman" w:cs="Times New Roman"/>
          <w:sz w:val="24"/>
          <w:szCs w:val="24"/>
        </w:rPr>
      </w:pPr>
      <w:r w:rsidRPr="002C4285">
        <w:rPr>
          <w:rFonts w:ascii="Times New Roman" w:hAnsi="Times New Roman" w:cs="Times New Roman"/>
          <w:sz w:val="24"/>
          <w:szCs w:val="24"/>
        </w:rPr>
        <w:t>Hull Royal Infirmary</w:t>
      </w:r>
    </w:p>
    <w:p w14:paraId="1E1526B3" w14:textId="77777777" w:rsidR="00D061CF" w:rsidRPr="002C4285" w:rsidRDefault="00D061CF" w:rsidP="00D061CF">
      <w:pPr>
        <w:pStyle w:val="ListParagraph"/>
        <w:spacing w:line="480" w:lineRule="auto"/>
        <w:rPr>
          <w:rFonts w:ascii="Times New Roman" w:hAnsi="Times New Roman" w:cs="Times New Roman"/>
          <w:sz w:val="24"/>
          <w:szCs w:val="24"/>
        </w:rPr>
      </w:pPr>
      <w:proofErr w:type="spellStart"/>
      <w:r w:rsidRPr="002C4285">
        <w:rPr>
          <w:rFonts w:ascii="Times New Roman" w:hAnsi="Times New Roman" w:cs="Times New Roman"/>
          <w:sz w:val="24"/>
          <w:szCs w:val="24"/>
        </w:rPr>
        <w:t>Anlaby</w:t>
      </w:r>
      <w:proofErr w:type="spellEnd"/>
      <w:r w:rsidRPr="002C4285">
        <w:rPr>
          <w:rFonts w:ascii="Times New Roman" w:hAnsi="Times New Roman" w:cs="Times New Roman"/>
          <w:sz w:val="24"/>
          <w:szCs w:val="24"/>
        </w:rPr>
        <w:t xml:space="preserve"> Road</w:t>
      </w:r>
    </w:p>
    <w:p w14:paraId="2C7A69EF"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Hull</w:t>
      </w:r>
    </w:p>
    <w:p w14:paraId="6F3EC58C"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HU3 2JZ</w:t>
      </w:r>
    </w:p>
    <w:p w14:paraId="562D6FE3" w14:textId="77777777" w:rsidR="00D061CF" w:rsidRPr="002C4285" w:rsidRDefault="00D061CF" w:rsidP="00D061CF">
      <w:pPr>
        <w:pStyle w:val="ListParagraph"/>
        <w:spacing w:line="480" w:lineRule="auto"/>
        <w:rPr>
          <w:rFonts w:ascii="Times New Roman" w:hAnsi="Times New Roman" w:cs="Times New Roman"/>
          <w:sz w:val="24"/>
          <w:szCs w:val="24"/>
        </w:rPr>
      </w:pPr>
    </w:p>
    <w:p w14:paraId="282A4430" w14:textId="77777777" w:rsidR="00D061CF" w:rsidRPr="002C4285" w:rsidRDefault="00D061CF" w:rsidP="00D061CF">
      <w:pPr>
        <w:pStyle w:val="ListParagraph"/>
        <w:numPr>
          <w:ilvl w:val="0"/>
          <w:numId w:val="1"/>
        </w:numPr>
        <w:spacing w:line="480" w:lineRule="auto"/>
        <w:rPr>
          <w:rFonts w:ascii="Times New Roman" w:hAnsi="Times New Roman" w:cs="Times New Roman"/>
          <w:sz w:val="24"/>
          <w:szCs w:val="24"/>
        </w:rPr>
      </w:pPr>
      <w:r w:rsidRPr="002C4285">
        <w:rPr>
          <w:rFonts w:ascii="Times New Roman" w:hAnsi="Times New Roman" w:cs="Times New Roman"/>
          <w:sz w:val="24"/>
          <w:szCs w:val="24"/>
        </w:rPr>
        <w:t>Castle Hill Hospital</w:t>
      </w:r>
    </w:p>
    <w:p w14:paraId="7886AE6A"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Castle Road</w:t>
      </w:r>
    </w:p>
    <w:p w14:paraId="61DE1590" w14:textId="77777777" w:rsidR="00D061CF" w:rsidRPr="002C4285" w:rsidRDefault="00D061CF" w:rsidP="00D061CF">
      <w:pPr>
        <w:pStyle w:val="ListParagraph"/>
        <w:spacing w:line="480" w:lineRule="auto"/>
        <w:rPr>
          <w:rFonts w:ascii="Times New Roman" w:hAnsi="Times New Roman" w:cs="Times New Roman"/>
          <w:sz w:val="24"/>
          <w:szCs w:val="24"/>
        </w:rPr>
      </w:pPr>
      <w:proofErr w:type="spellStart"/>
      <w:r w:rsidRPr="002C4285">
        <w:rPr>
          <w:rFonts w:ascii="Times New Roman" w:hAnsi="Times New Roman" w:cs="Times New Roman"/>
          <w:sz w:val="24"/>
          <w:szCs w:val="24"/>
        </w:rPr>
        <w:t>Cottingham</w:t>
      </w:r>
      <w:proofErr w:type="spellEnd"/>
    </w:p>
    <w:p w14:paraId="1FEE154C" w14:textId="77777777" w:rsidR="00D061CF" w:rsidRPr="002C4285" w:rsidRDefault="00D061CF" w:rsidP="00D061CF">
      <w:pPr>
        <w:pStyle w:val="ListParagraph"/>
        <w:spacing w:line="480" w:lineRule="auto"/>
        <w:rPr>
          <w:rFonts w:ascii="Times New Roman" w:hAnsi="Times New Roman" w:cs="Times New Roman"/>
          <w:sz w:val="24"/>
          <w:szCs w:val="24"/>
        </w:rPr>
      </w:pPr>
      <w:r w:rsidRPr="002C4285">
        <w:rPr>
          <w:rFonts w:ascii="Times New Roman" w:hAnsi="Times New Roman" w:cs="Times New Roman"/>
          <w:sz w:val="24"/>
          <w:szCs w:val="24"/>
        </w:rPr>
        <w:t>HU16 5JQ</w:t>
      </w:r>
    </w:p>
    <w:p w14:paraId="0BB3D23D" w14:textId="77777777" w:rsidR="00D061CF" w:rsidRPr="002C4285" w:rsidRDefault="00D061CF" w:rsidP="00D061CF">
      <w:pPr>
        <w:spacing w:line="480" w:lineRule="auto"/>
        <w:rPr>
          <w:rFonts w:ascii="Times New Roman" w:hAnsi="Times New Roman" w:cs="Times New Roman"/>
        </w:rPr>
      </w:pPr>
      <w:r w:rsidRPr="002C4285">
        <w:rPr>
          <w:rFonts w:ascii="Times New Roman" w:hAnsi="Times New Roman" w:cs="Times New Roman"/>
        </w:rPr>
        <w:br w:type="page"/>
      </w:r>
    </w:p>
    <w:p w14:paraId="0C952888"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lastRenderedPageBreak/>
        <w:t>Dear Editor</w:t>
      </w:r>
    </w:p>
    <w:p w14:paraId="5140AFFD" w14:textId="77777777" w:rsidR="00D061CF" w:rsidRPr="002C4285" w:rsidRDefault="00D061CF" w:rsidP="00D061CF">
      <w:pPr>
        <w:spacing w:line="480" w:lineRule="auto"/>
        <w:rPr>
          <w:rFonts w:ascii="Times New Roman" w:eastAsia="Verdana" w:hAnsi="Times New Roman" w:cs="Times New Roman"/>
          <w:sz w:val="24"/>
          <w:szCs w:val="24"/>
        </w:rPr>
      </w:pPr>
      <w:r w:rsidRPr="002C4285">
        <w:rPr>
          <w:rFonts w:ascii="Times New Roman" w:eastAsia="Verdana" w:hAnsi="Times New Roman" w:cs="Times New Roman"/>
          <w:sz w:val="24"/>
          <w:szCs w:val="24"/>
        </w:rPr>
        <w:t>One of the primary risk factors in the development of cancer is older age. The demographic shift to an ageing population has given rise to an increased number of older patients with cancer. The extreme heterogeneity within this population renders applying standardised treatment pathways hazardous</w:t>
      </w:r>
      <w:r w:rsidRPr="002C4285">
        <w:rPr>
          <w:rFonts w:ascii="Times New Roman" w:eastAsia="Verdana" w:hAnsi="Times New Roman" w:cs="Times New Roman"/>
          <w:sz w:val="24"/>
          <w:szCs w:val="24"/>
          <w:vertAlign w:val="superscript"/>
        </w:rPr>
        <w:t>1</w:t>
      </w:r>
      <w:r w:rsidRPr="002C4285">
        <w:rPr>
          <w:rFonts w:ascii="Times New Roman" w:eastAsia="Verdana" w:hAnsi="Times New Roman" w:cs="Times New Roman"/>
          <w:sz w:val="24"/>
          <w:szCs w:val="24"/>
        </w:rPr>
        <w:t>. Disparities in physiological reserve and an increased risk of multiple comorbidities further exacerbates the complexity of cancer treatment management in older patients</w:t>
      </w:r>
      <w:r w:rsidRPr="002C4285">
        <w:rPr>
          <w:rFonts w:ascii="Times New Roman" w:eastAsia="Verdana" w:hAnsi="Times New Roman" w:cs="Times New Roman"/>
          <w:sz w:val="24"/>
          <w:szCs w:val="24"/>
          <w:vertAlign w:val="superscript"/>
        </w:rPr>
        <w:t>2</w:t>
      </w:r>
      <w:r w:rsidRPr="002C4285">
        <w:rPr>
          <w:rFonts w:ascii="Times New Roman" w:eastAsia="Verdana" w:hAnsi="Times New Roman" w:cs="Times New Roman"/>
          <w:sz w:val="24"/>
          <w:szCs w:val="24"/>
        </w:rPr>
        <w:t>. Individual modifications to tailor treatment for each specific patient would be the gold standard; thus, detailed patient assessment providing a comprehensive health profile in addition to existing diagnostic test results are paramount when devising a personalised treatment care approach</w:t>
      </w:r>
      <w:r w:rsidRPr="002C4285">
        <w:rPr>
          <w:rFonts w:ascii="Times New Roman" w:eastAsia="Verdana" w:hAnsi="Times New Roman" w:cs="Times New Roman"/>
          <w:sz w:val="24"/>
          <w:szCs w:val="24"/>
          <w:vertAlign w:val="superscript"/>
        </w:rPr>
        <w:t>3</w:t>
      </w:r>
      <w:r w:rsidRPr="002C4285">
        <w:rPr>
          <w:rFonts w:ascii="Times New Roman" w:eastAsia="Verdana" w:hAnsi="Times New Roman" w:cs="Times New Roman"/>
          <w:sz w:val="24"/>
          <w:szCs w:val="24"/>
        </w:rPr>
        <w:t xml:space="preserve">. </w:t>
      </w:r>
    </w:p>
    <w:p w14:paraId="39AC5ACC" w14:textId="77777777" w:rsidR="00D061CF" w:rsidRPr="002C4285" w:rsidRDefault="00D061CF" w:rsidP="00D061CF">
      <w:pPr>
        <w:spacing w:line="480" w:lineRule="auto"/>
        <w:rPr>
          <w:rFonts w:ascii="Times New Roman" w:eastAsia="Verdana" w:hAnsi="Times New Roman" w:cs="Times New Roman"/>
          <w:sz w:val="24"/>
          <w:szCs w:val="24"/>
        </w:rPr>
      </w:pPr>
      <w:r w:rsidRPr="002C4285">
        <w:rPr>
          <w:rFonts w:ascii="Times New Roman" w:eastAsia="Verdana" w:hAnsi="Times New Roman" w:cs="Times New Roman"/>
          <w:sz w:val="24"/>
          <w:szCs w:val="24"/>
        </w:rPr>
        <w:t>Recognition of this has led to interest in the potential value of the Comprehensive Geriatric Assessment (CGA), to guide appropriate treatment selection in this patient cohort. CGA is a multidimensional tool to assess individual domains.  These domains typically include: functional status (FS), comorbidities, nutrition, performance status (PS), psychological, cognition, social support</w:t>
      </w:r>
      <w:r w:rsidR="002C7C66">
        <w:rPr>
          <w:rFonts w:ascii="Times New Roman" w:eastAsia="Verdana" w:hAnsi="Times New Roman" w:cs="Times New Roman"/>
          <w:sz w:val="24"/>
          <w:szCs w:val="24"/>
        </w:rPr>
        <w:t>,</w:t>
      </w:r>
      <w:r w:rsidRPr="002C4285">
        <w:rPr>
          <w:rFonts w:ascii="Times New Roman" w:eastAsia="Verdana" w:hAnsi="Times New Roman" w:cs="Times New Roman"/>
          <w:sz w:val="24"/>
          <w:szCs w:val="24"/>
        </w:rPr>
        <w:t xml:space="preserve"> and medication, and collectively determine the functional status of the patient</w:t>
      </w:r>
      <w:r w:rsidRPr="002C4285">
        <w:rPr>
          <w:rFonts w:ascii="Times New Roman" w:eastAsia="Verdana" w:hAnsi="Times New Roman" w:cs="Times New Roman"/>
          <w:sz w:val="24"/>
          <w:szCs w:val="24"/>
          <w:vertAlign w:val="superscript"/>
        </w:rPr>
        <w:t>4</w:t>
      </w:r>
      <w:r w:rsidRPr="002C4285">
        <w:rPr>
          <w:rFonts w:ascii="Times New Roman" w:eastAsia="Verdana" w:hAnsi="Times New Roman" w:cs="Times New Roman"/>
          <w:sz w:val="24"/>
          <w:szCs w:val="24"/>
        </w:rPr>
        <w:t xml:space="preserve">. Although CGA has been validated in a geriatric setting, it has not yet been validated in an oncological setting. A number of assessment tools have been designed to assess each of the </w:t>
      </w:r>
      <w:r w:rsidRPr="002C4285">
        <w:rPr>
          <w:rFonts w:ascii="Times New Roman" w:eastAsia="Verdana" w:hAnsi="Times New Roman" w:cs="Times New Roman"/>
          <w:sz w:val="24"/>
          <w:szCs w:val="24"/>
        </w:rPr>
        <w:lastRenderedPageBreak/>
        <w:t>domains but there is no agreed format for CGA in oncology</w:t>
      </w:r>
      <w:r w:rsidRPr="002C4285">
        <w:rPr>
          <w:rFonts w:ascii="Times New Roman" w:eastAsia="Verdana" w:hAnsi="Times New Roman" w:cs="Times New Roman"/>
          <w:sz w:val="24"/>
          <w:szCs w:val="24"/>
          <w:vertAlign w:val="superscript"/>
        </w:rPr>
        <w:t>5</w:t>
      </w:r>
      <w:r w:rsidRPr="002C4285">
        <w:rPr>
          <w:rFonts w:ascii="Times New Roman" w:eastAsia="Verdana" w:hAnsi="Times New Roman" w:cs="Times New Roman"/>
          <w:sz w:val="24"/>
          <w:szCs w:val="24"/>
        </w:rPr>
        <w:t>. In addition to the lack of standardised format, CGA has also been criticised for being too time-consuming to complete and therefore difficult to incorporate routinely into a busy oncology setting</w:t>
      </w:r>
      <w:r w:rsidRPr="002C4285">
        <w:rPr>
          <w:rFonts w:ascii="Times New Roman" w:eastAsia="Verdana" w:hAnsi="Times New Roman" w:cs="Times New Roman"/>
          <w:sz w:val="24"/>
          <w:szCs w:val="24"/>
          <w:vertAlign w:val="superscript"/>
        </w:rPr>
        <w:t>6</w:t>
      </w:r>
      <w:r w:rsidRPr="002C4285">
        <w:rPr>
          <w:rFonts w:ascii="Times New Roman" w:eastAsia="Verdana" w:hAnsi="Times New Roman" w:cs="Times New Roman"/>
          <w:sz w:val="24"/>
          <w:szCs w:val="24"/>
        </w:rPr>
        <w:t>. Other screening tools have been developed to address this problem, such as the Vulnerable Elders Survey-13 (VES-13). The VES-13 is a patient self-rated, questionnaire with a total of 13 items to identify vulnerable older patients that require further assessment with CGA</w:t>
      </w:r>
      <w:r w:rsidRPr="002C4285">
        <w:rPr>
          <w:rFonts w:ascii="Times New Roman" w:eastAsia="Verdana" w:hAnsi="Times New Roman" w:cs="Times New Roman"/>
          <w:sz w:val="24"/>
          <w:szCs w:val="24"/>
          <w:vertAlign w:val="superscript"/>
        </w:rPr>
        <w:t>7</w:t>
      </w:r>
      <w:r w:rsidRPr="002C4285">
        <w:rPr>
          <w:rFonts w:ascii="Times New Roman" w:eastAsia="Verdana" w:hAnsi="Times New Roman" w:cs="Times New Roman"/>
          <w:sz w:val="24"/>
          <w:szCs w:val="24"/>
        </w:rPr>
        <w:t>.</w:t>
      </w:r>
    </w:p>
    <w:p w14:paraId="24240E71" w14:textId="09603816" w:rsidR="00D061CF" w:rsidRPr="002C4285" w:rsidRDefault="00D061CF" w:rsidP="00D061CF">
      <w:pPr>
        <w:spacing w:line="480" w:lineRule="auto"/>
        <w:rPr>
          <w:rFonts w:ascii="Times New Roman" w:eastAsia="Verdana" w:hAnsi="Times New Roman" w:cs="Times New Roman"/>
          <w:sz w:val="24"/>
          <w:szCs w:val="24"/>
        </w:rPr>
      </w:pPr>
      <w:r w:rsidRPr="002C4285">
        <w:rPr>
          <w:rFonts w:ascii="Times New Roman" w:eastAsia="Verdana" w:hAnsi="Times New Roman" w:cs="Times New Roman"/>
          <w:sz w:val="24"/>
          <w:szCs w:val="24"/>
        </w:rPr>
        <w:t xml:space="preserve">Although significant feasibility work by leading experts in this field has already been completed </w:t>
      </w:r>
      <w:r w:rsidRPr="002C4285">
        <w:rPr>
          <w:rFonts w:ascii="Times New Roman" w:eastAsia="Verdana" w:hAnsi="Times New Roman" w:cs="Times New Roman"/>
          <w:sz w:val="24"/>
          <w:szCs w:val="24"/>
          <w:vertAlign w:val="superscript"/>
        </w:rPr>
        <w:t>8, 9</w:t>
      </w:r>
      <w:r w:rsidRPr="002C4285">
        <w:rPr>
          <w:rFonts w:ascii="Times New Roman" w:eastAsia="Verdana" w:hAnsi="Times New Roman" w:cs="Times New Roman"/>
          <w:sz w:val="24"/>
          <w:szCs w:val="24"/>
        </w:rPr>
        <w:t>, much of this research was in the US; we propose further feasibility work in UK hospitals is necessary, since implementation is likely to differ considerably. The aim of this study therefore, was to address the feasibility of using CGA and VES-13 in outpatient older adults with cancer, in England.  Providing data to inform the design of a definitive randomised controlled trial (RCT), where these tools will be tested as an intervention to guide cancer treatment with regard to patient relevant outcomes.</w:t>
      </w:r>
    </w:p>
    <w:p w14:paraId="164ABFB9" w14:textId="77777777" w:rsidR="00D061CF" w:rsidRPr="002C4285" w:rsidRDefault="00D061CF" w:rsidP="00D061CF">
      <w:pPr>
        <w:pStyle w:val="Heading1"/>
        <w:spacing w:line="480" w:lineRule="auto"/>
        <w:rPr>
          <w:rFonts w:ascii="Times New Roman" w:hAnsi="Times New Roman" w:cs="Times New Roman"/>
          <w:b/>
          <w:color w:val="auto"/>
          <w:sz w:val="28"/>
          <w:szCs w:val="28"/>
        </w:rPr>
      </w:pPr>
      <w:r w:rsidRPr="002C4285">
        <w:rPr>
          <w:rFonts w:ascii="Times New Roman" w:hAnsi="Times New Roman" w:cs="Times New Roman"/>
          <w:b/>
          <w:color w:val="auto"/>
          <w:sz w:val="28"/>
          <w:szCs w:val="28"/>
        </w:rPr>
        <w:t>Methods</w:t>
      </w:r>
    </w:p>
    <w:p w14:paraId="4CA9D84D" w14:textId="77777777" w:rsidR="00D061CF" w:rsidRPr="002C4285" w:rsidRDefault="00D061CF" w:rsidP="00D061CF">
      <w:pPr>
        <w:pStyle w:val="Heading2"/>
        <w:spacing w:line="480" w:lineRule="auto"/>
        <w:rPr>
          <w:rFonts w:ascii="Times New Roman" w:hAnsi="Times New Roman" w:cs="Times New Roman"/>
          <w:b/>
          <w:i/>
          <w:color w:val="auto"/>
          <w:sz w:val="24"/>
          <w:szCs w:val="24"/>
        </w:rPr>
      </w:pPr>
      <w:r w:rsidRPr="002C4285">
        <w:rPr>
          <w:rFonts w:ascii="Times New Roman" w:hAnsi="Times New Roman" w:cs="Times New Roman"/>
          <w:b/>
          <w:i/>
          <w:color w:val="auto"/>
          <w:sz w:val="24"/>
          <w:szCs w:val="24"/>
        </w:rPr>
        <w:t>Study population</w:t>
      </w:r>
    </w:p>
    <w:p w14:paraId="2ADBCF60"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This single centre, feasibility study was conducted in the oncology outpatient department of the Queen’s centre, Castle Hill Hospital, Hull, from October 2014 until July 2015 in </w:t>
      </w:r>
      <w:r w:rsidRPr="002C4285">
        <w:rPr>
          <w:rFonts w:ascii="Times New Roman" w:hAnsi="Times New Roman" w:cs="Times New Roman"/>
          <w:sz w:val="24"/>
          <w:szCs w:val="24"/>
        </w:rPr>
        <w:lastRenderedPageBreak/>
        <w:t>patients aged 70 and older with a newly diagnosed cancer. A conservative eligible: consent ratio of 4:1 was considered feasible in terms of a subsequent trial given the age of the population. This study, including method of consent, was approved by Research Ethics Committee (REC) and Hull and East Yorkshire (HEY) trust R&amp;D and was conducted in accordance with Good Clinical Practice guidelines and the Declaration of Helsinki. Written informed consent was obtained from all participants.</w:t>
      </w:r>
    </w:p>
    <w:p w14:paraId="4DAF61B4" w14:textId="77777777" w:rsidR="00D061CF" w:rsidRPr="002C4285" w:rsidRDefault="00D061CF" w:rsidP="00D061CF">
      <w:pPr>
        <w:pStyle w:val="Heading2"/>
        <w:spacing w:line="480" w:lineRule="auto"/>
        <w:rPr>
          <w:rFonts w:ascii="Times New Roman" w:hAnsi="Times New Roman" w:cs="Times New Roman"/>
          <w:b/>
          <w:i/>
          <w:color w:val="auto"/>
          <w:sz w:val="24"/>
          <w:szCs w:val="24"/>
        </w:rPr>
      </w:pPr>
      <w:r w:rsidRPr="002C4285">
        <w:rPr>
          <w:rFonts w:ascii="Times New Roman" w:hAnsi="Times New Roman" w:cs="Times New Roman"/>
          <w:b/>
          <w:i/>
          <w:color w:val="auto"/>
          <w:sz w:val="24"/>
          <w:szCs w:val="24"/>
        </w:rPr>
        <w:t>Data collection</w:t>
      </w:r>
    </w:p>
    <w:p w14:paraId="5C440956" w14:textId="1D02D2DD"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All consenting patients completed both assessment tools in full, consecutively in clinic with the help (if required) from a research nurse, starting with CGA and then the VES-13. Briefly, our CGA comprised of: Lawton’s Instrumental Activities of Daily Living (IADL) to assess FS, diagnosed comorbidities according to </w:t>
      </w:r>
      <w:proofErr w:type="spellStart"/>
      <w:r w:rsidRPr="002C4285">
        <w:rPr>
          <w:rFonts w:ascii="Times New Roman" w:hAnsi="Times New Roman" w:cs="Times New Roman"/>
          <w:sz w:val="24"/>
          <w:szCs w:val="24"/>
        </w:rPr>
        <w:t>Charlson</w:t>
      </w:r>
      <w:proofErr w:type="spellEnd"/>
      <w:r w:rsidRPr="002C4285">
        <w:rPr>
          <w:rFonts w:ascii="Times New Roman" w:hAnsi="Times New Roman" w:cs="Times New Roman"/>
          <w:sz w:val="24"/>
          <w:szCs w:val="24"/>
        </w:rPr>
        <w:t xml:space="preserve"> comorbidity index, an internal screening questionnaire used routinely in the cancer centre was used to assess nutrition (see online supplemental appendix 1), Eastern Cooperative Oncology Group (ECOG) was used to assess performance status (PS), Geriatric Depression Scale (GDS) to assess psychological status, cognitive impairment was assessed in a </w:t>
      </w:r>
      <w:proofErr w:type="spellStart"/>
      <w:r w:rsidR="00586A2C">
        <w:rPr>
          <w:rFonts w:ascii="Times New Roman" w:hAnsi="Times New Roman" w:cs="Times New Roman"/>
          <w:sz w:val="24"/>
          <w:szCs w:val="24"/>
        </w:rPr>
        <w:t>two</w:t>
      </w:r>
      <w:r w:rsidRPr="002C4285">
        <w:rPr>
          <w:rFonts w:ascii="Times New Roman" w:hAnsi="Times New Roman" w:cs="Times New Roman"/>
          <w:sz w:val="24"/>
          <w:szCs w:val="24"/>
        </w:rPr>
        <w:t xml:space="preserve"> step</w:t>
      </w:r>
      <w:proofErr w:type="spellEnd"/>
      <w:r w:rsidRPr="002C4285">
        <w:rPr>
          <w:rFonts w:ascii="Times New Roman" w:hAnsi="Times New Roman" w:cs="Times New Roman"/>
          <w:sz w:val="24"/>
          <w:szCs w:val="24"/>
        </w:rPr>
        <w:t xml:space="preserve"> process (as advised by our geriatrician team member (DH)), all 100 patients completed the Abbreviated Mental Test Score (AMTS), since a score of  ≤8 is indicative of likely impairment, </w:t>
      </w:r>
      <w:r w:rsidRPr="002C4285">
        <w:rPr>
          <w:rFonts w:ascii="Times New Roman" w:hAnsi="Times New Roman" w:cs="Times New Roman"/>
          <w:sz w:val="24"/>
          <w:szCs w:val="24"/>
        </w:rPr>
        <w:lastRenderedPageBreak/>
        <w:t xml:space="preserve">patients with this score were also assessed using </w:t>
      </w:r>
      <w:proofErr w:type="spellStart"/>
      <w:r w:rsidRPr="002C4285">
        <w:rPr>
          <w:rFonts w:ascii="Times New Roman" w:hAnsi="Times New Roman" w:cs="Times New Roman"/>
          <w:sz w:val="24"/>
          <w:szCs w:val="24"/>
        </w:rPr>
        <w:t>Folstein’s</w:t>
      </w:r>
      <w:proofErr w:type="spellEnd"/>
      <w:r w:rsidRPr="002C4285">
        <w:rPr>
          <w:rFonts w:ascii="Times New Roman" w:hAnsi="Times New Roman" w:cs="Times New Roman"/>
          <w:sz w:val="24"/>
          <w:szCs w:val="24"/>
        </w:rPr>
        <w:t xml:space="preserve"> Mini-Mental State Examination (MMSE), finally, participant medication information was obtained through medical notes and patient self-report. In accordance with previously published values, a cut-off score of impairment </w:t>
      </w:r>
      <w:proofErr w:type="gramStart"/>
      <w:r w:rsidRPr="002C4285">
        <w:rPr>
          <w:rFonts w:ascii="Times New Roman" w:hAnsi="Times New Roman" w:cs="Times New Roman"/>
          <w:sz w:val="24"/>
          <w:szCs w:val="24"/>
        </w:rPr>
        <w:t>in</w:t>
      </w:r>
      <w:r w:rsidR="00586A2C">
        <w:rPr>
          <w:rFonts w:ascii="Times New Roman" w:hAnsi="Times New Roman" w:cs="Times New Roman"/>
          <w:sz w:val="24"/>
          <w:szCs w:val="24"/>
        </w:rPr>
        <w:t xml:space="preserve">  two</w:t>
      </w:r>
      <w:proofErr w:type="gramEnd"/>
      <w:r w:rsidR="00586A2C">
        <w:rPr>
          <w:rFonts w:ascii="Times New Roman" w:hAnsi="Times New Roman" w:cs="Times New Roman"/>
          <w:sz w:val="24"/>
          <w:szCs w:val="24"/>
        </w:rPr>
        <w:t xml:space="preserve"> or more</w:t>
      </w:r>
      <w:r w:rsidRPr="002C4285">
        <w:rPr>
          <w:rFonts w:ascii="Times New Roman" w:hAnsi="Times New Roman" w:cs="Times New Roman"/>
          <w:sz w:val="24"/>
          <w:szCs w:val="24"/>
        </w:rPr>
        <w:t xml:space="preserve"> CGA domains signified vulnerability of an increased risk of poor treatment outcome</w:t>
      </w:r>
      <w:r w:rsidRPr="002C4285">
        <w:rPr>
          <w:rFonts w:ascii="Times New Roman" w:hAnsi="Times New Roman" w:cs="Times New Roman"/>
          <w:sz w:val="24"/>
          <w:szCs w:val="24"/>
          <w:vertAlign w:val="superscript"/>
        </w:rPr>
        <w:t>8</w:t>
      </w:r>
      <w:r w:rsidRPr="002C4285">
        <w:rPr>
          <w:rFonts w:ascii="Times New Roman" w:hAnsi="Times New Roman" w:cs="Times New Roman"/>
          <w:sz w:val="24"/>
          <w:szCs w:val="24"/>
        </w:rPr>
        <w:t xml:space="preserve">. Further detail on individual assessment scores can be obtained from the authors. The VES-13 screening tool has a maximum score of </w:t>
      </w:r>
      <w:r w:rsidR="00586A2C">
        <w:rPr>
          <w:rFonts w:ascii="Times New Roman" w:hAnsi="Times New Roman" w:cs="Times New Roman"/>
          <w:sz w:val="24"/>
          <w:szCs w:val="24"/>
        </w:rPr>
        <w:t>ten</w:t>
      </w:r>
      <w:r w:rsidRPr="002C4285">
        <w:rPr>
          <w:rFonts w:ascii="Times New Roman" w:hAnsi="Times New Roman" w:cs="Times New Roman"/>
          <w:sz w:val="24"/>
          <w:szCs w:val="24"/>
        </w:rPr>
        <w:t xml:space="preserve">, the total overall score range in our study was </w:t>
      </w:r>
      <w:r w:rsidR="00586A2C">
        <w:rPr>
          <w:rFonts w:ascii="Times New Roman" w:hAnsi="Times New Roman" w:cs="Times New Roman"/>
          <w:sz w:val="24"/>
          <w:szCs w:val="24"/>
        </w:rPr>
        <w:t>zero</w:t>
      </w:r>
      <w:r w:rsidRPr="002C4285">
        <w:rPr>
          <w:rFonts w:ascii="Times New Roman" w:hAnsi="Times New Roman" w:cs="Times New Roman"/>
          <w:sz w:val="24"/>
          <w:szCs w:val="24"/>
        </w:rPr>
        <w:t xml:space="preserve"> (lowest risk) and </w:t>
      </w:r>
      <w:r w:rsidR="00586A2C">
        <w:rPr>
          <w:rFonts w:ascii="Times New Roman" w:hAnsi="Times New Roman" w:cs="Times New Roman"/>
          <w:sz w:val="24"/>
          <w:szCs w:val="24"/>
        </w:rPr>
        <w:t>ten</w:t>
      </w:r>
      <w:r w:rsidRPr="002C4285">
        <w:rPr>
          <w:rFonts w:ascii="Times New Roman" w:hAnsi="Times New Roman" w:cs="Times New Roman"/>
          <w:sz w:val="24"/>
          <w:szCs w:val="24"/>
        </w:rPr>
        <w:t xml:space="preserve"> (highest risk).  In order to categorise participants in to vulnerable and not vulnerable, a cut-off score of </w:t>
      </w:r>
      <w:r w:rsidR="00586A2C">
        <w:rPr>
          <w:rFonts w:ascii="Times New Roman" w:hAnsi="Times New Roman" w:cs="Times New Roman"/>
          <w:sz w:val="24"/>
          <w:szCs w:val="24"/>
        </w:rPr>
        <w:t>three</w:t>
      </w:r>
      <w:r w:rsidRPr="002C4285">
        <w:rPr>
          <w:rFonts w:ascii="Times New Roman" w:hAnsi="Times New Roman" w:cs="Times New Roman"/>
          <w:sz w:val="24"/>
          <w:szCs w:val="24"/>
        </w:rPr>
        <w:t xml:space="preserve"> was used</w:t>
      </w:r>
      <w:r w:rsidR="00586A2C">
        <w:rPr>
          <w:rFonts w:ascii="Times New Roman" w:hAnsi="Times New Roman" w:cs="Times New Roman"/>
          <w:sz w:val="24"/>
          <w:szCs w:val="24"/>
        </w:rPr>
        <w:t>,</w:t>
      </w:r>
      <w:r w:rsidRPr="002C4285">
        <w:rPr>
          <w:rFonts w:ascii="Times New Roman" w:hAnsi="Times New Roman" w:cs="Times New Roman"/>
          <w:sz w:val="24"/>
          <w:szCs w:val="24"/>
        </w:rPr>
        <w:t xml:space="preserve"> whereby participants scoring </w:t>
      </w:r>
      <w:r w:rsidR="00586A2C">
        <w:rPr>
          <w:rFonts w:ascii="Times New Roman" w:hAnsi="Times New Roman" w:cs="Times New Roman"/>
          <w:sz w:val="24"/>
          <w:szCs w:val="24"/>
        </w:rPr>
        <w:t>three or more</w:t>
      </w:r>
      <w:r w:rsidRPr="002C4285">
        <w:rPr>
          <w:rFonts w:ascii="Times New Roman" w:hAnsi="Times New Roman" w:cs="Times New Roman"/>
          <w:sz w:val="24"/>
          <w:szCs w:val="24"/>
        </w:rPr>
        <w:t xml:space="preserve"> with the VES-13 tool were classified vulnerable</w:t>
      </w:r>
      <w:r w:rsidRPr="002C4285">
        <w:rPr>
          <w:rFonts w:ascii="Times New Roman" w:hAnsi="Times New Roman" w:cs="Times New Roman"/>
          <w:sz w:val="24"/>
          <w:szCs w:val="24"/>
          <w:vertAlign w:val="superscript"/>
        </w:rPr>
        <w:t>7</w:t>
      </w:r>
      <w:r w:rsidRPr="002C4285">
        <w:rPr>
          <w:rFonts w:ascii="Times New Roman" w:hAnsi="Times New Roman" w:cs="Times New Roman"/>
          <w:sz w:val="24"/>
          <w:szCs w:val="24"/>
        </w:rPr>
        <w:t>.</w:t>
      </w:r>
    </w:p>
    <w:p w14:paraId="39270501" w14:textId="77777777" w:rsidR="00D061CF" w:rsidRPr="002C4285" w:rsidRDefault="00D061CF" w:rsidP="00D061CF">
      <w:pPr>
        <w:pStyle w:val="Heading2"/>
        <w:spacing w:line="480" w:lineRule="auto"/>
        <w:rPr>
          <w:rFonts w:ascii="Times New Roman" w:hAnsi="Times New Roman" w:cs="Times New Roman"/>
          <w:b/>
          <w:i/>
          <w:color w:val="auto"/>
          <w:sz w:val="24"/>
          <w:szCs w:val="24"/>
        </w:rPr>
      </w:pPr>
      <w:r w:rsidRPr="002C4285">
        <w:rPr>
          <w:rFonts w:ascii="Times New Roman" w:hAnsi="Times New Roman" w:cs="Times New Roman"/>
          <w:b/>
          <w:i/>
          <w:color w:val="auto"/>
          <w:sz w:val="24"/>
          <w:szCs w:val="24"/>
        </w:rPr>
        <w:t>Statistical analysis</w:t>
      </w:r>
    </w:p>
    <w:p w14:paraId="28F7CC42" w14:textId="106024AE"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Descriptive analyses are presented to describe patients and clinical baseline characteristics, assessment outcomes and patient clinical outcomes after </w:t>
      </w:r>
      <w:proofErr w:type="gramStart"/>
      <w:r w:rsidR="002C7C66">
        <w:rPr>
          <w:rFonts w:ascii="Times New Roman" w:hAnsi="Times New Roman" w:cs="Times New Roman"/>
          <w:sz w:val="24"/>
          <w:szCs w:val="24"/>
        </w:rPr>
        <w:t>six</w:t>
      </w:r>
      <w:r w:rsidRPr="002C4285">
        <w:rPr>
          <w:rFonts w:ascii="Times New Roman" w:hAnsi="Times New Roman" w:cs="Times New Roman"/>
          <w:sz w:val="24"/>
          <w:szCs w:val="24"/>
        </w:rPr>
        <w:t xml:space="preserve"> month</w:t>
      </w:r>
      <w:proofErr w:type="gramEnd"/>
      <w:r w:rsidRPr="002C4285">
        <w:rPr>
          <w:rFonts w:ascii="Times New Roman" w:hAnsi="Times New Roman" w:cs="Times New Roman"/>
          <w:sz w:val="24"/>
          <w:szCs w:val="24"/>
        </w:rPr>
        <w:t xml:space="preserve"> follow-up</w:t>
      </w:r>
      <w:r w:rsidR="00995CFD" w:rsidRPr="002C4285">
        <w:rPr>
          <w:rFonts w:ascii="Times New Roman" w:hAnsi="Times New Roman" w:cs="Times New Roman"/>
          <w:sz w:val="24"/>
          <w:szCs w:val="24"/>
        </w:rPr>
        <w:t>.</w:t>
      </w:r>
      <w:r w:rsidRPr="002C4285">
        <w:rPr>
          <w:rFonts w:ascii="Times New Roman" w:hAnsi="Times New Roman" w:cs="Times New Roman"/>
          <w:sz w:val="24"/>
          <w:szCs w:val="24"/>
        </w:rPr>
        <w:t xml:space="preserve"> </w:t>
      </w:r>
      <w:r w:rsidRPr="002C4285">
        <w:rPr>
          <w:rFonts w:ascii="Times New Roman" w:hAnsi="Times New Roman" w:cs="Times New Roman"/>
          <w:i/>
          <w:sz w:val="24"/>
          <w:szCs w:val="24"/>
        </w:rPr>
        <w:t xml:space="preserve">Post hoc </w:t>
      </w:r>
      <w:r w:rsidRPr="002C4285">
        <w:rPr>
          <w:rFonts w:ascii="Times New Roman" w:hAnsi="Times New Roman" w:cs="Times New Roman"/>
          <w:sz w:val="24"/>
          <w:szCs w:val="24"/>
        </w:rPr>
        <w:t>analyses to test inter-</w:t>
      </w:r>
      <w:proofErr w:type="spellStart"/>
      <w:r w:rsidRPr="002C4285">
        <w:rPr>
          <w:rFonts w:ascii="Times New Roman" w:hAnsi="Times New Roman" w:cs="Times New Roman"/>
          <w:sz w:val="24"/>
          <w:szCs w:val="24"/>
        </w:rPr>
        <w:t>rater</w:t>
      </w:r>
      <w:proofErr w:type="spellEnd"/>
      <w:r w:rsidRPr="002C4285">
        <w:rPr>
          <w:rFonts w:ascii="Times New Roman" w:hAnsi="Times New Roman" w:cs="Times New Roman"/>
          <w:sz w:val="24"/>
          <w:szCs w:val="24"/>
        </w:rPr>
        <w:t xml:space="preserve"> reliability between CGA and VES-13 was tested with Cohen’s kappa. STATA software (version 14.0) was used for all statistical analyses.</w:t>
      </w:r>
    </w:p>
    <w:p w14:paraId="4563D219" w14:textId="77777777" w:rsidR="00D061CF" w:rsidRPr="002C4285" w:rsidRDefault="00D061CF" w:rsidP="00D061CF">
      <w:pPr>
        <w:pStyle w:val="Heading1"/>
        <w:spacing w:line="480" w:lineRule="auto"/>
        <w:rPr>
          <w:rFonts w:ascii="Times New Roman" w:hAnsi="Times New Roman" w:cs="Times New Roman"/>
          <w:b/>
          <w:color w:val="auto"/>
          <w:sz w:val="28"/>
          <w:szCs w:val="28"/>
        </w:rPr>
      </w:pPr>
      <w:r w:rsidRPr="002C4285">
        <w:rPr>
          <w:rFonts w:ascii="Times New Roman" w:hAnsi="Times New Roman" w:cs="Times New Roman"/>
          <w:b/>
          <w:color w:val="auto"/>
          <w:sz w:val="28"/>
          <w:szCs w:val="28"/>
        </w:rPr>
        <w:t>Results</w:t>
      </w:r>
    </w:p>
    <w:p w14:paraId="217FE5EC" w14:textId="50FEEA8F"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A total of 100 patients were recruited (mean age 78 years, SD </w:t>
      </w:r>
      <w:r w:rsidR="00696462">
        <w:rPr>
          <w:rFonts w:ascii="Times New Roman" w:hAnsi="Times New Roman" w:cs="Times New Roman"/>
          <w:sz w:val="24"/>
          <w:szCs w:val="24"/>
        </w:rPr>
        <w:t>6</w:t>
      </w:r>
      <w:r w:rsidRPr="002C4285">
        <w:rPr>
          <w:rFonts w:ascii="Times New Roman" w:hAnsi="Times New Roman" w:cs="Times New Roman"/>
          <w:sz w:val="24"/>
          <w:szCs w:val="24"/>
        </w:rPr>
        <w:t xml:space="preserve">, range 70-97 years; 50 (50%) were women.  There were </w:t>
      </w:r>
      <w:r w:rsidR="002C7C66">
        <w:rPr>
          <w:rFonts w:ascii="Times New Roman" w:hAnsi="Times New Roman" w:cs="Times New Roman"/>
          <w:sz w:val="24"/>
          <w:szCs w:val="24"/>
        </w:rPr>
        <w:lastRenderedPageBreak/>
        <w:t>sixteen</w:t>
      </w:r>
      <w:r w:rsidR="002C7C66" w:rsidRPr="002C4285">
        <w:rPr>
          <w:rFonts w:ascii="Times New Roman" w:hAnsi="Times New Roman" w:cs="Times New Roman"/>
          <w:sz w:val="24"/>
          <w:szCs w:val="24"/>
        </w:rPr>
        <w:t xml:space="preserve"> </w:t>
      </w:r>
      <w:r w:rsidRPr="002C4285">
        <w:rPr>
          <w:rFonts w:ascii="Times New Roman" w:hAnsi="Times New Roman" w:cs="Times New Roman"/>
          <w:sz w:val="24"/>
          <w:szCs w:val="24"/>
        </w:rPr>
        <w:t xml:space="preserve">different cancer types, colorectal cancer was the most frequent (26%).  Almost 50% of patients had late stage cancer at diagnosis.  Over half (66%) of the study population’s intended treatment plan included chemotherapy. According to IADL, 60% of participants achieved a perfect score of </w:t>
      </w:r>
      <w:r w:rsidR="00696462">
        <w:rPr>
          <w:rFonts w:ascii="Times New Roman" w:hAnsi="Times New Roman" w:cs="Times New Roman"/>
          <w:sz w:val="24"/>
          <w:szCs w:val="24"/>
        </w:rPr>
        <w:t>eight</w:t>
      </w:r>
      <w:r w:rsidRPr="002C4285">
        <w:rPr>
          <w:rFonts w:ascii="Times New Roman" w:hAnsi="Times New Roman" w:cs="Times New Roman"/>
          <w:sz w:val="24"/>
          <w:szCs w:val="24"/>
        </w:rPr>
        <w:t xml:space="preserve">, indicative of fully independent living, however, ECOG PS differed in that 47% of patients were rated as ECOG </w:t>
      </w:r>
      <w:r w:rsidR="00696462">
        <w:rPr>
          <w:rFonts w:ascii="Times New Roman" w:hAnsi="Times New Roman" w:cs="Times New Roman"/>
          <w:sz w:val="24"/>
          <w:szCs w:val="24"/>
        </w:rPr>
        <w:t>Zero</w:t>
      </w:r>
      <w:r w:rsidRPr="002C4285">
        <w:rPr>
          <w:rFonts w:ascii="Times New Roman" w:hAnsi="Times New Roman" w:cs="Times New Roman"/>
          <w:sz w:val="24"/>
          <w:szCs w:val="24"/>
        </w:rPr>
        <w:t xml:space="preserve"> indicating they were fully active. A quarter of patients (25%) scored high risk for depression with the GDS (further assessment outcomes detailed in table </w:t>
      </w:r>
      <w:r w:rsidR="00696462">
        <w:rPr>
          <w:rFonts w:ascii="Times New Roman" w:hAnsi="Times New Roman" w:cs="Times New Roman"/>
          <w:sz w:val="24"/>
          <w:szCs w:val="24"/>
        </w:rPr>
        <w:t>one</w:t>
      </w:r>
      <w:r w:rsidRPr="002C4285">
        <w:rPr>
          <w:rFonts w:ascii="Times New Roman" w:hAnsi="Times New Roman" w:cs="Times New Roman"/>
          <w:sz w:val="24"/>
          <w:szCs w:val="24"/>
        </w:rPr>
        <w:t xml:space="preserve">).  Primary outcomes for this study were recruitment and assessment times (secondary outcome results detailed in online supplemental).  Average monthly recruitment rate was 11.1 and screen to consent ratio was 2.39:1 (details of study phase progression in figure </w:t>
      </w:r>
      <w:r w:rsidR="00696462">
        <w:rPr>
          <w:rFonts w:ascii="Times New Roman" w:hAnsi="Times New Roman" w:cs="Times New Roman"/>
          <w:sz w:val="24"/>
          <w:szCs w:val="24"/>
        </w:rPr>
        <w:t>one</w:t>
      </w:r>
      <w:r w:rsidRPr="002C4285">
        <w:rPr>
          <w:rFonts w:ascii="Times New Roman" w:hAnsi="Times New Roman" w:cs="Times New Roman"/>
          <w:sz w:val="24"/>
          <w:szCs w:val="24"/>
        </w:rPr>
        <w:t>).  The mean assessment completion time for the CGA was 16.3 minutes (SD 9.2, range 5-80 minutes). The mean assessment completion time for the VES-13 was 5.2 minutes (SD 3.6, range 1-35). Over half, 54 (54%), of participants were classed as vulnerable according to CGA, whilst almost half, 46 (46%) were classed as vulnerable according to VES-13 (score of 3 or more). Moderate agreement was observed between the CGA and VES-13 (Cohen’s kappa value 0.52, 95% CI 0.35 to 0.69, p = &lt;0.001).</w:t>
      </w:r>
    </w:p>
    <w:p w14:paraId="42A4443C" w14:textId="77777777" w:rsidR="00D061CF" w:rsidRPr="002C4285" w:rsidRDefault="00D061CF" w:rsidP="00D061CF">
      <w:pPr>
        <w:pStyle w:val="Heading1"/>
        <w:spacing w:line="480" w:lineRule="auto"/>
        <w:rPr>
          <w:rFonts w:ascii="Times New Roman" w:hAnsi="Times New Roman" w:cs="Times New Roman"/>
          <w:b/>
          <w:color w:val="auto"/>
          <w:sz w:val="28"/>
          <w:szCs w:val="28"/>
        </w:rPr>
      </w:pPr>
      <w:r w:rsidRPr="002C4285">
        <w:rPr>
          <w:rFonts w:ascii="Times New Roman" w:hAnsi="Times New Roman" w:cs="Times New Roman"/>
          <w:b/>
          <w:color w:val="auto"/>
          <w:sz w:val="28"/>
          <w:szCs w:val="28"/>
        </w:rPr>
        <w:lastRenderedPageBreak/>
        <w:t>Discussion</w:t>
      </w:r>
    </w:p>
    <w:p w14:paraId="32DA7FCC" w14:textId="6F836B5E"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This feasibility study shows that recruitment to a trial using CGA and VES is feasible with only </w:t>
      </w:r>
      <w:r w:rsidR="00696462">
        <w:rPr>
          <w:rFonts w:ascii="Times New Roman" w:hAnsi="Times New Roman" w:cs="Times New Roman"/>
          <w:sz w:val="24"/>
          <w:szCs w:val="24"/>
        </w:rPr>
        <w:t>fifteen percent</w:t>
      </w:r>
      <w:r w:rsidRPr="002C4285">
        <w:rPr>
          <w:rFonts w:ascii="Times New Roman" w:hAnsi="Times New Roman" w:cs="Times New Roman"/>
          <w:sz w:val="24"/>
          <w:szCs w:val="24"/>
        </w:rPr>
        <w:t xml:space="preserve"> of approached patients declining consent. Time to complete the tools is reasonable in the context of routine clinical practice. The assessment tools selected for this study were brief in nature and could be self-completed during clinical waiting times, factors which may have contributed to our high participation rates. Other study data were collected from clinical records; thus minimising participant burden. Time constraints in busy routine cancer practice is a major concern regarding use of CGA in older adults.</w:t>
      </w:r>
      <w:r w:rsidRPr="002C4285">
        <w:rPr>
          <w:rFonts w:ascii="Times New Roman" w:hAnsi="Times New Roman" w:cs="Times New Roman"/>
          <w:sz w:val="24"/>
          <w:szCs w:val="24"/>
          <w:vertAlign w:val="superscript"/>
        </w:rPr>
        <w:t xml:space="preserve"> </w:t>
      </w:r>
      <w:r w:rsidRPr="002C4285">
        <w:rPr>
          <w:rFonts w:ascii="Times New Roman" w:hAnsi="Times New Roman" w:cs="Times New Roman"/>
          <w:sz w:val="24"/>
          <w:szCs w:val="24"/>
        </w:rPr>
        <w:t xml:space="preserve"> As there is no agreed CGA format, completion time depends on the format chosen. Mean completion time for the CGA in this study was consistent with previous studies using a similar format </w:t>
      </w:r>
      <w:r w:rsidRPr="002C4285">
        <w:rPr>
          <w:rFonts w:ascii="Times New Roman" w:hAnsi="Times New Roman" w:cs="Times New Roman"/>
          <w:sz w:val="24"/>
          <w:szCs w:val="24"/>
          <w:vertAlign w:val="superscript"/>
        </w:rPr>
        <w:t>8, 9</w:t>
      </w:r>
      <w:r w:rsidRPr="002C4285">
        <w:rPr>
          <w:rFonts w:ascii="Times New Roman" w:hAnsi="Times New Roman" w:cs="Times New Roman"/>
          <w:sz w:val="24"/>
          <w:szCs w:val="24"/>
        </w:rPr>
        <w:t>.</w:t>
      </w:r>
    </w:p>
    <w:p w14:paraId="03659253" w14:textId="1FBAFA60"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Currently, performance status as measured by the ECOG or </w:t>
      </w:r>
      <w:proofErr w:type="spellStart"/>
      <w:r w:rsidRPr="002C4285">
        <w:rPr>
          <w:rFonts w:ascii="Times New Roman" w:hAnsi="Times New Roman" w:cs="Times New Roman"/>
          <w:sz w:val="24"/>
          <w:szCs w:val="24"/>
        </w:rPr>
        <w:t>Karnofsky</w:t>
      </w:r>
      <w:proofErr w:type="spellEnd"/>
      <w:r w:rsidRPr="002C4285">
        <w:rPr>
          <w:rFonts w:ascii="Times New Roman" w:hAnsi="Times New Roman" w:cs="Times New Roman"/>
          <w:sz w:val="24"/>
          <w:szCs w:val="24"/>
        </w:rPr>
        <w:t xml:space="preserve"> Performance Status (PS) tools are widely used in oncology and used as a guide to treatment decisions.  In our study, 83% of our participants had an ECOG PS</w:t>
      </w:r>
      <w:r w:rsidR="00696462">
        <w:rPr>
          <w:rFonts w:ascii="Times New Roman" w:hAnsi="Times New Roman" w:cs="Times New Roman"/>
          <w:sz w:val="24"/>
          <w:szCs w:val="24"/>
        </w:rPr>
        <w:t xml:space="preserve"> of less than one</w:t>
      </w:r>
      <w:r w:rsidRPr="002C4285">
        <w:rPr>
          <w:rFonts w:ascii="Times New Roman" w:hAnsi="Times New Roman" w:cs="Times New Roman"/>
          <w:sz w:val="24"/>
          <w:szCs w:val="24"/>
        </w:rPr>
        <w:t>; however, only half of the studies patients were classed as non-vulnerable by the CGA or VES-13. This supports findings from another study, suggesting CGA can help identify issues not necessarily identifiable by PS alone</w:t>
      </w:r>
      <w:r w:rsidRPr="002C4285">
        <w:rPr>
          <w:rFonts w:ascii="Times New Roman" w:hAnsi="Times New Roman" w:cs="Times New Roman"/>
          <w:sz w:val="24"/>
          <w:szCs w:val="24"/>
          <w:vertAlign w:val="superscript"/>
        </w:rPr>
        <w:t>10</w:t>
      </w:r>
      <w:r w:rsidRPr="002C4285">
        <w:rPr>
          <w:rFonts w:ascii="Times New Roman" w:hAnsi="Times New Roman" w:cs="Times New Roman"/>
          <w:sz w:val="24"/>
          <w:szCs w:val="24"/>
        </w:rPr>
        <w:t xml:space="preserve">. This prospective, consecutive study provides real-life out-patient data and included older patients with a variety of different solid cancer </w:t>
      </w:r>
      <w:r w:rsidRPr="002C4285">
        <w:rPr>
          <w:rFonts w:ascii="Times New Roman" w:hAnsi="Times New Roman" w:cs="Times New Roman"/>
          <w:sz w:val="24"/>
          <w:szCs w:val="24"/>
        </w:rPr>
        <w:lastRenderedPageBreak/>
        <w:t xml:space="preserve">types in order to test broad feasibility of CGA use. However, the study was not designed to detect any particular effect size, and the observations therefore support investigation in an appropriately powered study. </w:t>
      </w:r>
    </w:p>
    <w:p w14:paraId="6AAB2C21" w14:textId="77777777" w:rsidR="00D061CF" w:rsidRPr="002C4285" w:rsidRDefault="00D061CF" w:rsidP="00D061CF">
      <w:pPr>
        <w:pStyle w:val="Heading2"/>
        <w:spacing w:line="480" w:lineRule="auto"/>
        <w:rPr>
          <w:rFonts w:ascii="Times New Roman" w:hAnsi="Times New Roman" w:cs="Times New Roman"/>
          <w:b/>
          <w:i/>
          <w:color w:val="auto"/>
          <w:sz w:val="24"/>
          <w:szCs w:val="24"/>
        </w:rPr>
      </w:pPr>
      <w:r w:rsidRPr="002C4285">
        <w:rPr>
          <w:rFonts w:ascii="Times New Roman" w:hAnsi="Times New Roman" w:cs="Times New Roman"/>
          <w:b/>
          <w:i/>
          <w:color w:val="auto"/>
          <w:sz w:val="24"/>
          <w:szCs w:val="24"/>
        </w:rPr>
        <w:t>Strengths and limitations</w:t>
      </w:r>
    </w:p>
    <w:p w14:paraId="43C8CDBF"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The study population was derived from a single centre. Recruitment from outpatient clinic may have caused unintentional selection bias to yield a healthier population of older patients with cancer; consistent with a high percentage (66%) of participants with a treatment plan including chemotherapy.  In future studies, effort should be made to recruit a cross section of participants with a range of health profiles. </w:t>
      </w:r>
    </w:p>
    <w:p w14:paraId="0989F779" w14:textId="77777777" w:rsidR="00D061CF" w:rsidRPr="002C4285" w:rsidRDefault="00D061CF" w:rsidP="00D061CF">
      <w:pPr>
        <w:pStyle w:val="Heading2"/>
        <w:spacing w:line="480" w:lineRule="auto"/>
        <w:rPr>
          <w:rFonts w:ascii="Times New Roman" w:hAnsi="Times New Roman" w:cs="Times New Roman"/>
          <w:b/>
          <w:i/>
          <w:color w:val="auto"/>
          <w:sz w:val="24"/>
          <w:szCs w:val="24"/>
        </w:rPr>
      </w:pPr>
      <w:r w:rsidRPr="002C4285">
        <w:rPr>
          <w:rFonts w:ascii="Times New Roman" w:hAnsi="Times New Roman" w:cs="Times New Roman"/>
          <w:b/>
          <w:i/>
          <w:color w:val="auto"/>
          <w:sz w:val="24"/>
          <w:szCs w:val="24"/>
        </w:rPr>
        <w:t>Implications for future practice and research</w:t>
      </w:r>
    </w:p>
    <w:p w14:paraId="0CE7A3B1"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Study design of a future RCT was not tested (no randomisation) and thus willingness to be randomised needs further assessment prior to progression to a definitive trial.  The assessments were carried out by a study research nurse (RN). In order for the CGA or VES-13 to be tested in an RCT in a manner which could provide a new standard of care, the assessments need to be carried out by a clinical nurse as part of routine care. Therefore, further work is needed to identify the time needed for clinical nurses to be trained and to deliver the assessment, and the acceptability of doing so. </w:t>
      </w:r>
      <w:r w:rsidRPr="002C4285">
        <w:rPr>
          <w:rFonts w:ascii="Times New Roman" w:hAnsi="Times New Roman" w:cs="Times New Roman"/>
        </w:rPr>
        <w:t xml:space="preserve">A comparison between RN and physician assessment was not made; this would be interesting to </w:t>
      </w:r>
      <w:r w:rsidRPr="002C4285">
        <w:rPr>
          <w:rFonts w:ascii="Times New Roman" w:hAnsi="Times New Roman" w:cs="Times New Roman"/>
        </w:rPr>
        <w:lastRenderedPageBreak/>
        <w:t>examine in future work</w:t>
      </w:r>
      <w:r w:rsidRPr="002C4285">
        <w:rPr>
          <w:rFonts w:ascii="Times New Roman" w:hAnsi="Times New Roman" w:cs="Times New Roman"/>
          <w:sz w:val="24"/>
          <w:szCs w:val="24"/>
        </w:rPr>
        <w:t xml:space="preserve">. The CGA results can be made available to the consultant rapidly, for both </w:t>
      </w:r>
      <w:proofErr w:type="gramStart"/>
      <w:r w:rsidRPr="002C4285">
        <w:rPr>
          <w:rFonts w:ascii="Times New Roman" w:hAnsi="Times New Roman" w:cs="Times New Roman"/>
          <w:sz w:val="24"/>
          <w:szCs w:val="24"/>
        </w:rPr>
        <w:t>discussion</w:t>
      </w:r>
      <w:proofErr w:type="gramEnd"/>
      <w:r w:rsidRPr="002C4285">
        <w:rPr>
          <w:rFonts w:ascii="Times New Roman" w:hAnsi="Times New Roman" w:cs="Times New Roman"/>
          <w:sz w:val="24"/>
          <w:szCs w:val="24"/>
        </w:rPr>
        <w:t xml:space="preserve"> with the patient and to assist with treatment decisions. Further work to determine whether and how the results of the CGA can influence treatment decisions is ongoing. The shorter questionnaire, the VES-13, may be useful as a screening tool.</w:t>
      </w:r>
    </w:p>
    <w:p w14:paraId="2D7F82C3" w14:textId="77777777" w:rsidR="00D061CF" w:rsidRPr="002C4285" w:rsidRDefault="00D061CF" w:rsidP="00D061CF">
      <w:pPr>
        <w:pStyle w:val="Heading1"/>
        <w:spacing w:line="480" w:lineRule="auto"/>
        <w:rPr>
          <w:rFonts w:ascii="Times New Roman" w:hAnsi="Times New Roman" w:cs="Times New Roman"/>
          <w:b/>
          <w:color w:val="auto"/>
          <w:sz w:val="28"/>
          <w:szCs w:val="28"/>
        </w:rPr>
      </w:pPr>
      <w:r w:rsidRPr="002C4285">
        <w:rPr>
          <w:rFonts w:ascii="Times New Roman" w:hAnsi="Times New Roman" w:cs="Times New Roman"/>
          <w:b/>
          <w:color w:val="auto"/>
          <w:sz w:val="28"/>
          <w:szCs w:val="28"/>
        </w:rPr>
        <w:t>Conclusion</w:t>
      </w:r>
    </w:p>
    <w:p w14:paraId="0FC834EE"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 xml:space="preserve">This feasibility study is the first in a series of preparatory research studies aimed at informing the design and construct of a definitive RCT to test whether routine CGA assessment improves clinical outcomes in the older adult with cancer. We have shown recruitment is feasible in terms of willingness to be assessed and complete study questionnaires. CGA completion times in an outpatient clinic setting are reasonable. </w:t>
      </w:r>
    </w:p>
    <w:p w14:paraId="0EA349E2" w14:textId="77777777" w:rsidR="00D061CF" w:rsidRPr="002C4285" w:rsidRDefault="00D061CF" w:rsidP="00D061CF">
      <w:pPr>
        <w:pStyle w:val="Heading1"/>
        <w:spacing w:line="480" w:lineRule="auto"/>
        <w:rPr>
          <w:rFonts w:ascii="Times New Roman" w:eastAsia="Verdana" w:hAnsi="Times New Roman" w:cs="Times New Roman"/>
          <w:b/>
          <w:color w:val="auto"/>
          <w:sz w:val="28"/>
          <w:szCs w:val="28"/>
        </w:rPr>
      </w:pPr>
      <w:r w:rsidRPr="002C4285">
        <w:rPr>
          <w:rFonts w:ascii="Times New Roman" w:eastAsia="Verdana" w:hAnsi="Times New Roman" w:cs="Times New Roman"/>
          <w:b/>
          <w:color w:val="auto"/>
          <w:sz w:val="28"/>
          <w:szCs w:val="28"/>
        </w:rPr>
        <w:t>Authors’ disclosure</w:t>
      </w:r>
    </w:p>
    <w:p w14:paraId="29561827" w14:textId="77777777" w:rsidR="00D061CF" w:rsidRPr="002C4285" w:rsidRDefault="00D061CF" w:rsidP="00D061CF">
      <w:pPr>
        <w:spacing w:line="480" w:lineRule="auto"/>
        <w:rPr>
          <w:rFonts w:ascii="Times New Roman" w:eastAsia="Verdana" w:hAnsi="Times New Roman" w:cs="Times New Roman"/>
          <w:sz w:val="24"/>
          <w:szCs w:val="24"/>
        </w:rPr>
      </w:pPr>
      <w:r w:rsidRPr="002C4285">
        <w:rPr>
          <w:rFonts w:ascii="Times New Roman" w:eastAsia="Verdana" w:hAnsi="Times New Roman" w:cs="Times New Roman"/>
          <w:sz w:val="24"/>
          <w:szCs w:val="24"/>
        </w:rPr>
        <w:t>The authors declare no conflict of interest.</w:t>
      </w:r>
    </w:p>
    <w:p w14:paraId="66E95AB8" w14:textId="77777777" w:rsidR="00D061CF" w:rsidRPr="002C4285" w:rsidRDefault="00D061CF" w:rsidP="00D061CF">
      <w:pPr>
        <w:pStyle w:val="Heading1"/>
        <w:spacing w:line="480" w:lineRule="auto"/>
        <w:rPr>
          <w:rFonts w:ascii="Times New Roman" w:eastAsia="Verdana" w:hAnsi="Times New Roman" w:cs="Times New Roman"/>
          <w:b/>
          <w:color w:val="auto"/>
          <w:sz w:val="28"/>
          <w:szCs w:val="28"/>
        </w:rPr>
      </w:pPr>
      <w:r w:rsidRPr="002C4285">
        <w:rPr>
          <w:rFonts w:ascii="Times New Roman" w:eastAsia="Verdana" w:hAnsi="Times New Roman" w:cs="Times New Roman"/>
          <w:b/>
          <w:color w:val="auto"/>
          <w:sz w:val="28"/>
          <w:szCs w:val="28"/>
        </w:rPr>
        <w:t>Authors’ contributions</w:t>
      </w:r>
    </w:p>
    <w:p w14:paraId="214A3AC8"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Study conception and design: Lind; Gabe; Johnson; Date; Maraveyas; Roy; Harman</w:t>
      </w:r>
    </w:p>
    <w:p w14:paraId="37BDE0C0"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Acquisition of data: Jackson; Lind; Gabe</w:t>
      </w:r>
    </w:p>
    <w:p w14:paraId="0A63F447"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Analysis and interpretation of data: Jackson; Gabe; Fairhurst</w:t>
      </w:r>
    </w:p>
    <w:p w14:paraId="379F090E"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t>Drafting/revising of manuscript: Jackson</w:t>
      </w:r>
    </w:p>
    <w:p w14:paraId="6B2B3FF1" w14:textId="77777777" w:rsidR="00D061CF" w:rsidRPr="002C4285" w:rsidRDefault="00D061CF" w:rsidP="00D061CF">
      <w:pPr>
        <w:spacing w:line="480" w:lineRule="auto"/>
        <w:rPr>
          <w:rFonts w:ascii="Times New Roman" w:hAnsi="Times New Roman" w:cs="Times New Roman"/>
          <w:sz w:val="24"/>
          <w:szCs w:val="24"/>
        </w:rPr>
      </w:pPr>
      <w:r w:rsidRPr="002C4285">
        <w:rPr>
          <w:rFonts w:ascii="Times New Roman" w:hAnsi="Times New Roman" w:cs="Times New Roman"/>
          <w:sz w:val="24"/>
          <w:szCs w:val="24"/>
        </w:rPr>
        <w:lastRenderedPageBreak/>
        <w:t>Critical revision: All authors</w:t>
      </w:r>
    </w:p>
    <w:p w14:paraId="7540E2EE" w14:textId="77777777" w:rsidR="00D061CF" w:rsidRPr="002C4285" w:rsidRDefault="00D061CF" w:rsidP="00D061CF">
      <w:pPr>
        <w:pStyle w:val="Heading1"/>
        <w:spacing w:line="480" w:lineRule="auto"/>
        <w:rPr>
          <w:rFonts w:ascii="Times New Roman" w:hAnsi="Times New Roman" w:cs="Times New Roman"/>
          <w:b/>
          <w:color w:val="auto"/>
          <w:sz w:val="28"/>
          <w:szCs w:val="28"/>
        </w:rPr>
      </w:pPr>
      <w:r w:rsidRPr="002C4285">
        <w:rPr>
          <w:rFonts w:ascii="Times New Roman" w:hAnsi="Times New Roman" w:cs="Times New Roman"/>
          <w:b/>
          <w:color w:val="auto"/>
          <w:sz w:val="28"/>
          <w:szCs w:val="28"/>
        </w:rPr>
        <w:t>References</w:t>
      </w:r>
    </w:p>
    <w:p w14:paraId="554EB155" w14:textId="77777777" w:rsidR="00D061CF" w:rsidRPr="002C4285" w:rsidRDefault="00D061CF" w:rsidP="00D061CF">
      <w:pPr>
        <w:pStyle w:val="ListParagraph"/>
        <w:numPr>
          <w:ilvl w:val="0"/>
          <w:numId w:val="2"/>
        </w:numPr>
        <w:rPr>
          <w:rFonts w:ascii="Times New Roman" w:eastAsia="Verdana" w:hAnsi="Times New Roman" w:cs="Times New Roman"/>
          <w:sz w:val="24"/>
          <w:szCs w:val="24"/>
        </w:rPr>
      </w:pPr>
      <w:proofErr w:type="spellStart"/>
      <w:r w:rsidRPr="002C4285">
        <w:rPr>
          <w:rFonts w:ascii="Times New Roman" w:eastAsia="Verdana" w:hAnsi="Times New Roman" w:cs="Times New Roman"/>
          <w:sz w:val="24"/>
          <w:szCs w:val="24"/>
        </w:rPr>
        <w:t>Mountzios</w:t>
      </w:r>
      <w:proofErr w:type="spellEnd"/>
      <w:r w:rsidRPr="002C4285">
        <w:rPr>
          <w:rFonts w:ascii="Times New Roman" w:eastAsia="Verdana" w:hAnsi="Times New Roman" w:cs="Times New Roman"/>
          <w:sz w:val="24"/>
          <w:szCs w:val="24"/>
        </w:rPr>
        <w:t xml:space="preserve"> G. Optimal management of the elderly patient with head and neck cancer: issues regarding surgery, irradiation and chemotherapy. </w:t>
      </w:r>
      <w:r w:rsidRPr="002C4285">
        <w:rPr>
          <w:rFonts w:ascii="Times New Roman" w:eastAsia="Verdana" w:hAnsi="Times New Roman" w:cs="Times New Roman"/>
          <w:i/>
          <w:sz w:val="24"/>
          <w:szCs w:val="24"/>
        </w:rPr>
        <w:t xml:space="preserve">World J </w:t>
      </w:r>
      <w:proofErr w:type="spellStart"/>
      <w:r w:rsidRPr="002C4285">
        <w:rPr>
          <w:rFonts w:ascii="Times New Roman" w:eastAsia="Verdana" w:hAnsi="Times New Roman" w:cs="Times New Roman"/>
          <w:i/>
          <w:sz w:val="24"/>
          <w:szCs w:val="24"/>
        </w:rPr>
        <w:t>Clin</w:t>
      </w:r>
      <w:proofErr w:type="spellEnd"/>
      <w:r w:rsidRPr="002C4285">
        <w:rPr>
          <w:rFonts w:ascii="Times New Roman" w:eastAsia="Verdana" w:hAnsi="Times New Roman" w:cs="Times New Roman"/>
          <w:i/>
          <w:sz w:val="24"/>
          <w:szCs w:val="24"/>
        </w:rPr>
        <w:t xml:space="preserve"> </w:t>
      </w:r>
      <w:proofErr w:type="spellStart"/>
      <w:r w:rsidRPr="002C4285">
        <w:rPr>
          <w:rFonts w:ascii="Times New Roman" w:eastAsia="Verdana" w:hAnsi="Times New Roman" w:cs="Times New Roman"/>
          <w:i/>
          <w:sz w:val="24"/>
          <w:szCs w:val="24"/>
        </w:rPr>
        <w:t>Oncol</w:t>
      </w:r>
      <w:proofErr w:type="spellEnd"/>
      <w:r w:rsidRPr="002C4285">
        <w:rPr>
          <w:rFonts w:ascii="Times New Roman" w:eastAsia="Verdana" w:hAnsi="Times New Roman" w:cs="Times New Roman"/>
          <w:sz w:val="24"/>
          <w:szCs w:val="24"/>
        </w:rPr>
        <w:t xml:space="preserve"> 2015; </w:t>
      </w:r>
      <w:r w:rsidRPr="002C4285">
        <w:rPr>
          <w:rFonts w:ascii="Times New Roman" w:eastAsia="Verdana" w:hAnsi="Times New Roman" w:cs="Times New Roman"/>
          <w:b/>
          <w:sz w:val="24"/>
          <w:szCs w:val="24"/>
        </w:rPr>
        <w:t>6</w:t>
      </w:r>
      <w:r w:rsidRPr="002C4285">
        <w:rPr>
          <w:rFonts w:ascii="Times New Roman" w:eastAsia="Verdana" w:hAnsi="Times New Roman" w:cs="Times New Roman"/>
          <w:sz w:val="24"/>
          <w:szCs w:val="24"/>
        </w:rPr>
        <w:t xml:space="preserve">:7-15, </w:t>
      </w:r>
      <w:proofErr w:type="spellStart"/>
      <w:r w:rsidRPr="002C4285">
        <w:rPr>
          <w:rFonts w:ascii="Times New Roman" w:eastAsia="Verdana" w:hAnsi="Times New Roman" w:cs="Times New Roman"/>
          <w:sz w:val="24"/>
          <w:szCs w:val="24"/>
        </w:rPr>
        <w:t>doi</w:t>
      </w:r>
      <w:proofErr w:type="spellEnd"/>
      <w:r w:rsidRPr="002C4285">
        <w:rPr>
          <w:rFonts w:ascii="Times New Roman" w:eastAsia="Verdana" w:hAnsi="Times New Roman" w:cs="Times New Roman"/>
          <w:sz w:val="24"/>
          <w:szCs w:val="24"/>
        </w:rPr>
        <w:t>: 10.5306/</w:t>
      </w:r>
      <w:proofErr w:type="gramStart"/>
      <w:r w:rsidRPr="002C4285">
        <w:rPr>
          <w:rFonts w:ascii="Times New Roman" w:eastAsia="Verdana" w:hAnsi="Times New Roman" w:cs="Times New Roman"/>
          <w:sz w:val="24"/>
          <w:szCs w:val="24"/>
        </w:rPr>
        <w:t>wjco.v</w:t>
      </w:r>
      <w:proofErr w:type="gramEnd"/>
      <w:r w:rsidRPr="002C4285">
        <w:rPr>
          <w:rFonts w:ascii="Times New Roman" w:eastAsia="Verdana" w:hAnsi="Times New Roman" w:cs="Times New Roman"/>
          <w:sz w:val="24"/>
          <w:szCs w:val="24"/>
        </w:rPr>
        <w:t>6.i1.7.</w:t>
      </w:r>
    </w:p>
    <w:p w14:paraId="46F5E0DF" w14:textId="77777777" w:rsidR="00D061CF" w:rsidRPr="002C4285" w:rsidRDefault="00D061CF" w:rsidP="00D061CF">
      <w:pPr>
        <w:pStyle w:val="ListParagraph"/>
        <w:rPr>
          <w:rFonts w:ascii="Times New Roman" w:eastAsia="Verdana" w:hAnsi="Times New Roman" w:cs="Times New Roman"/>
          <w:sz w:val="24"/>
          <w:szCs w:val="24"/>
        </w:rPr>
      </w:pPr>
    </w:p>
    <w:p w14:paraId="61C0A06E" w14:textId="77777777" w:rsidR="00D061CF" w:rsidRPr="002C4285" w:rsidRDefault="00D061CF" w:rsidP="00D061CF">
      <w:pPr>
        <w:pStyle w:val="ListParagraph"/>
        <w:numPr>
          <w:ilvl w:val="0"/>
          <w:numId w:val="2"/>
        </w:numPr>
        <w:spacing w:line="240" w:lineRule="auto"/>
        <w:rPr>
          <w:rFonts w:ascii="Times New Roman" w:hAnsi="Times New Roman" w:cs="Times New Roman"/>
          <w:sz w:val="24"/>
          <w:szCs w:val="24"/>
        </w:rPr>
      </w:pPr>
      <w:r w:rsidRPr="002C4285">
        <w:rPr>
          <w:rFonts w:ascii="Times New Roman" w:hAnsi="Times New Roman" w:cs="Times New Roman"/>
          <w:sz w:val="24"/>
          <w:szCs w:val="24"/>
        </w:rPr>
        <w:t xml:space="preserve">Hung W </w:t>
      </w:r>
      <w:proofErr w:type="spellStart"/>
      <w:r w:rsidRPr="002C4285">
        <w:rPr>
          <w:rFonts w:ascii="Times New Roman" w:hAnsi="Times New Roman" w:cs="Times New Roman"/>
          <w:sz w:val="24"/>
          <w:szCs w:val="24"/>
        </w:rPr>
        <w:t>W</w:t>
      </w:r>
      <w:proofErr w:type="spellEnd"/>
      <w:r w:rsidRPr="002C4285">
        <w:rPr>
          <w:rFonts w:ascii="Times New Roman" w:hAnsi="Times New Roman" w:cs="Times New Roman"/>
          <w:sz w:val="24"/>
          <w:szCs w:val="24"/>
        </w:rPr>
        <w:t xml:space="preserve">. Optimizing cancer treatment for older adults. </w:t>
      </w:r>
      <w:proofErr w:type="spellStart"/>
      <w:r w:rsidRPr="002C4285">
        <w:rPr>
          <w:rFonts w:ascii="Times New Roman" w:hAnsi="Times New Roman" w:cs="Times New Roman"/>
          <w:i/>
          <w:sz w:val="24"/>
          <w:szCs w:val="24"/>
        </w:rPr>
        <w:t>Clin</w:t>
      </w:r>
      <w:proofErr w:type="spellEnd"/>
      <w:r w:rsidRPr="002C4285">
        <w:rPr>
          <w:rFonts w:ascii="Times New Roman" w:hAnsi="Times New Roman" w:cs="Times New Roman"/>
          <w:i/>
          <w:sz w:val="24"/>
          <w:szCs w:val="24"/>
        </w:rPr>
        <w:t xml:space="preserve"> </w:t>
      </w:r>
      <w:proofErr w:type="spellStart"/>
      <w:r w:rsidRPr="002C4285">
        <w:rPr>
          <w:rFonts w:ascii="Times New Roman" w:hAnsi="Times New Roman" w:cs="Times New Roman"/>
          <w:i/>
          <w:sz w:val="24"/>
          <w:szCs w:val="24"/>
        </w:rPr>
        <w:t>Ther</w:t>
      </w:r>
      <w:proofErr w:type="spellEnd"/>
      <w:r w:rsidRPr="002C4285">
        <w:rPr>
          <w:rFonts w:ascii="Times New Roman" w:hAnsi="Times New Roman" w:cs="Times New Roman"/>
          <w:sz w:val="24"/>
          <w:szCs w:val="24"/>
        </w:rPr>
        <w:t xml:space="preserve"> 2018; </w:t>
      </w:r>
      <w:r w:rsidRPr="002C4285">
        <w:rPr>
          <w:rFonts w:ascii="Times New Roman" w:hAnsi="Times New Roman" w:cs="Times New Roman"/>
          <w:b/>
          <w:sz w:val="24"/>
          <w:szCs w:val="24"/>
        </w:rPr>
        <w:t>40</w:t>
      </w:r>
      <w:r w:rsidRPr="002C4285">
        <w:rPr>
          <w:rFonts w:ascii="Times New Roman" w:hAnsi="Times New Roman" w:cs="Times New Roman"/>
          <w:sz w:val="24"/>
          <w:szCs w:val="24"/>
        </w:rPr>
        <w:t>: 502-203, doi.org/10.1016/j.clinthera.2018.03.011</w:t>
      </w:r>
    </w:p>
    <w:p w14:paraId="35D77880" w14:textId="77777777" w:rsidR="00D061CF" w:rsidRPr="002C4285" w:rsidRDefault="00D061CF" w:rsidP="00D061CF">
      <w:pPr>
        <w:pStyle w:val="ListParagraph"/>
        <w:rPr>
          <w:rFonts w:ascii="Times New Roman" w:hAnsi="Times New Roman" w:cs="Times New Roman"/>
          <w:sz w:val="24"/>
          <w:szCs w:val="24"/>
        </w:rPr>
      </w:pPr>
    </w:p>
    <w:p w14:paraId="2636867E" w14:textId="77777777" w:rsidR="00D061CF" w:rsidRPr="002C4285" w:rsidRDefault="00D061CF" w:rsidP="00D061CF">
      <w:pPr>
        <w:pStyle w:val="ListParagraph"/>
        <w:numPr>
          <w:ilvl w:val="0"/>
          <w:numId w:val="2"/>
        </w:numPr>
        <w:spacing w:line="240" w:lineRule="auto"/>
        <w:rPr>
          <w:rFonts w:ascii="Times New Roman" w:hAnsi="Times New Roman" w:cs="Times New Roman"/>
        </w:rPr>
      </w:pPr>
      <w:proofErr w:type="spellStart"/>
      <w:r w:rsidRPr="002C4285">
        <w:rPr>
          <w:rFonts w:ascii="Times New Roman" w:hAnsi="Times New Roman" w:cs="Times New Roman"/>
          <w:sz w:val="24"/>
          <w:szCs w:val="24"/>
        </w:rPr>
        <w:t>Extermann</w:t>
      </w:r>
      <w:proofErr w:type="spellEnd"/>
      <w:r w:rsidRPr="002C4285">
        <w:rPr>
          <w:rFonts w:ascii="Times New Roman" w:hAnsi="Times New Roman" w:cs="Times New Roman"/>
          <w:sz w:val="24"/>
          <w:szCs w:val="24"/>
        </w:rPr>
        <w:t xml:space="preserve"> M. Integrating a geriatric evaluation in the clinical setting. </w:t>
      </w:r>
      <w:proofErr w:type="spellStart"/>
      <w:r w:rsidRPr="002C4285">
        <w:rPr>
          <w:rFonts w:ascii="Times New Roman" w:hAnsi="Times New Roman" w:cs="Times New Roman"/>
          <w:i/>
          <w:sz w:val="24"/>
          <w:szCs w:val="24"/>
        </w:rPr>
        <w:t>Semin</w:t>
      </w:r>
      <w:proofErr w:type="spellEnd"/>
      <w:r w:rsidRPr="002C4285">
        <w:rPr>
          <w:rFonts w:ascii="Times New Roman" w:hAnsi="Times New Roman" w:cs="Times New Roman"/>
          <w:i/>
          <w:sz w:val="24"/>
          <w:szCs w:val="24"/>
        </w:rPr>
        <w:t xml:space="preserve"> </w:t>
      </w:r>
      <w:proofErr w:type="spellStart"/>
      <w:r w:rsidRPr="002C4285">
        <w:rPr>
          <w:rFonts w:ascii="Times New Roman" w:hAnsi="Times New Roman" w:cs="Times New Roman"/>
          <w:i/>
          <w:sz w:val="24"/>
          <w:szCs w:val="24"/>
        </w:rPr>
        <w:t>Radiat</w:t>
      </w:r>
      <w:proofErr w:type="spellEnd"/>
      <w:r w:rsidRPr="002C4285">
        <w:rPr>
          <w:rFonts w:ascii="Times New Roman" w:hAnsi="Times New Roman" w:cs="Times New Roman"/>
          <w:i/>
          <w:sz w:val="24"/>
          <w:szCs w:val="24"/>
        </w:rPr>
        <w:t xml:space="preserve"> </w:t>
      </w:r>
      <w:proofErr w:type="spellStart"/>
      <w:r w:rsidRPr="002C4285">
        <w:rPr>
          <w:rFonts w:ascii="Times New Roman" w:hAnsi="Times New Roman" w:cs="Times New Roman"/>
          <w:i/>
          <w:sz w:val="24"/>
          <w:szCs w:val="24"/>
        </w:rPr>
        <w:t>Oncol</w:t>
      </w:r>
      <w:proofErr w:type="spellEnd"/>
      <w:r w:rsidRPr="002C4285">
        <w:rPr>
          <w:rFonts w:ascii="Times New Roman" w:hAnsi="Times New Roman" w:cs="Times New Roman"/>
          <w:i/>
          <w:sz w:val="24"/>
          <w:szCs w:val="24"/>
        </w:rPr>
        <w:t>.</w:t>
      </w:r>
      <w:r w:rsidRPr="002C4285">
        <w:rPr>
          <w:rFonts w:ascii="Times New Roman" w:hAnsi="Times New Roman" w:cs="Times New Roman"/>
          <w:sz w:val="24"/>
          <w:szCs w:val="24"/>
        </w:rPr>
        <w:t xml:space="preserve"> 2012; </w:t>
      </w:r>
      <w:r w:rsidRPr="002C4285">
        <w:rPr>
          <w:rFonts w:ascii="Times New Roman" w:hAnsi="Times New Roman" w:cs="Times New Roman"/>
          <w:b/>
          <w:sz w:val="24"/>
          <w:szCs w:val="24"/>
        </w:rPr>
        <w:t>22</w:t>
      </w:r>
      <w:r w:rsidRPr="002C4285">
        <w:rPr>
          <w:rFonts w:ascii="Times New Roman" w:hAnsi="Times New Roman" w:cs="Times New Roman"/>
          <w:sz w:val="24"/>
          <w:szCs w:val="24"/>
        </w:rPr>
        <w:t>: 272-276,</w:t>
      </w:r>
    </w:p>
    <w:p w14:paraId="14D247E6" w14:textId="77777777" w:rsidR="00D061CF" w:rsidRPr="002C4285" w:rsidRDefault="00D061CF" w:rsidP="00D061CF">
      <w:pPr>
        <w:pStyle w:val="ListParagraph"/>
        <w:spacing w:line="240" w:lineRule="auto"/>
        <w:rPr>
          <w:rFonts w:ascii="Times New Roman" w:hAnsi="Times New Roman" w:cs="Times New Roman"/>
          <w:sz w:val="24"/>
          <w:szCs w:val="24"/>
        </w:rPr>
      </w:pPr>
      <w:r w:rsidRPr="002C4285">
        <w:rPr>
          <w:rFonts w:ascii="Times New Roman" w:hAnsi="Times New Roman" w:cs="Times New Roman"/>
          <w:sz w:val="24"/>
          <w:szCs w:val="24"/>
        </w:rPr>
        <w:t xml:space="preserve"> doi:10.1016/</w:t>
      </w:r>
      <w:proofErr w:type="gramStart"/>
      <w:r w:rsidRPr="002C4285">
        <w:rPr>
          <w:rFonts w:ascii="Times New Roman" w:hAnsi="Times New Roman" w:cs="Times New Roman"/>
          <w:sz w:val="24"/>
          <w:szCs w:val="24"/>
        </w:rPr>
        <w:t>j.semradonc</w:t>
      </w:r>
      <w:proofErr w:type="gramEnd"/>
      <w:r w:rsidRPr="002C4285">
        <w:rPr>
          <w:rFonts w:ascii="Times New Roman" w:hAnsi="Times New Roman" w:cs="Times New Roman"/>
          <w:sz w:val="24"/>
          <w:szCs w:val="24"/>
        </w:rPr>
        <w:t>2012.05.003</w:t>
      </w:r>
    </w:p>
    <w:p w14:paraId="621CF7E7" w14:textId="77777777" w:rsidR="00D061CF" w:rsidRPr="002C4285" w:rsidRDefault="00D061CF" w:rsidP="00D061CF">
      <w:pPr>
        <w:pStyle w:val="ListParagraph"/>
        <w:spacing w:line="240" w:lineRule="auto"/>
        <w:rPr>
          <w:rFonts w:ascii="Times New Roman" w:hAnsi="Times New Roman" w:cs="Times New Roman"/>
        </w:rPr>
      </w:pPr>
    </w:p>
    <w:p w14:paraId="0C5F3F59" w14:textId="77777777" w:rsidR="00D061CF" w:rsidRPr="002C4285" w:rsidRDefault="00D061CF" w:rsidP="00D061CF">
      <w:pPr>
        <w:pStyle w:val="ListParagraph"/>
        <w:numPr>
          <w:ilvl w:val="0"/>
          <w:numId w:val="2"/>
        </w:numPr>
        <w:spacing w:line="240" w:lineRule="auto"/>
        <w:rPr>
          <w:rFonts w:ascii="Times New Roman" w:hAnsi="Times New Roman" w:cs="Times New Roman"/>
          <w:sz w:val="24"/>
          <w:szCs w:val="24"/>
        </w:rPr>
      </w:pPr>
      <w:proofErr w:type="spellStart"/>
      <w:r w:rsidRPr="002C4285">
        <w:rPr>
          <w:rFonts w:ascii="Times New Roman" w:hAnsi="Times New Roman" w:cs="Times New Roman"/>
          <w:sz w:val="24"/>
          <w:szCs w:val="24"/>
        </w:rPr>
        <w:t>Balducci</w:t>
      </w:r>
      <w:proofErr w:type="spellEnd"/>
      <w:r w:rsidRPr="002C4285">
        <w:rPr>
          <w:rFonts w:ascii="Times New Roman" w:hAnsi="Times New Roman" w:cs="Times New Roman"/>
          <w:sz w:val="24"/>
          <w:szCs w:val="24"/>
        </w:rPr>
        <w:t xml:space="preserve"> L., </w:t>
      </w:r>
      <w:proofErr w:type="spellStart"/>
      <w:r w:rsidRPr="002C4285">
        <w:rPr>
          <w:rFonts w:ascii="Times New Roman" w:hAnsi="Times New Roman" w:cs="Times New Roman"/>
          <w:sz w:val="24"/>
          <w:szCs w:val="24"/>
        </w:rPr>
        <w:t>Collaca</w:t>
      </w:r>
      <w:proofErr w:type="spellEnd"/>
      <w:r w:rsidRPr="002C4285">
        <w:rPr>
          <w:rFonts w:ascii="Times New Roman" w:hAnsi="Times New Roman" w:cs="Times New Roman"/>
          <w:sz w:val="24"/>
          <w:szCs w:val="24"/>
        </w:rPr>
        <w:t xml:space="preserve"> G., </w:t>
      </w:r>
      <w:proofErr w:type="spellStart"/>
      <w:r w:rsidRPr="002C4285">
        <w:rPr>
          <w:rFonts w:ascii="Times New Roman" w:hAnsi="Times New Roman" w:cs="Times New Roman"/>
          <w:sz w:val="24"/>
          <w:szCs w:val="24"/>
        </w:rPr>
        <w:t>Cesari</w:t>
      </w:r>
      <w:proofErr w:type="spellEnd"/>
      <w:r w:rsidRPr="002C4285">
        <w:rPr>
          <w:rFonts w:ascii="Times New Roman" w:hAnsi="Times New Roman" w:cs="Times New Roman"/>
          <w:sz w:val="24"/>
          <w:szCs w:val="24"/>
        </w:rPr>
        <w:t xml:space="preserve"> M., </w:t>
      </w:r>
      <w:proofErr w:type="spellStart"/>
      <w:r w:rsidRPr="002C4285">
        <w:rPr>
          <w:rFonts w:ascii="Times New Roman" w:hAnsi="Times New Roman" w:cs="Times New Roman"/>
          <w:sz w:val="24"/>
          <w:szCs w:val="24"/>
        </w:rPr>
        <w:t>Gambassi</w:t>
      </w:r>
      <w:proofErr w:type="spellEnd"/>
      <w:r w:rsidRPr="002C4285">
        <w:rPr>
          <w:rFonts w:ascii="Times New Roman" w:hAnsi="Times New Roman" w:cs="Times New Roman"/>
          <w:sz w:val="24"/>
          <w:szCs w:val="24"/>
        </w:rPr>
        <w:t xml:space="preserve"> G. Assessment and treatment of elderly patients with cancer. </w:t>
      </w:r>
      <w:proofErr w:type="spellStart"/>
      <w:r w:rsidRPr="002C4285">
        <w:rPr>
          <w:rFonts w:ascii="Times New Roman" w:hAnsi="Times New Roman" w:cs="Times New Roman"/>
          <w:i/>
          <w:sz w:val="24"/>
          <w:szCs w:val="24"/>
        </w:rPr>
        <w:t>Surg</w:t>
      </w:r>
      <w:proofErr w:type="spellEnd"/>
      <w:r w:rsidRPr="002C4285">
        <w:rPr>
          <w:rFonts w:ascii="Times New Roman" w:hAnsi="Times New Roman" w:cs="Times New Roman"/>
          <w:i/>
          <w:sz w:val="24"/>
          <w:szCs w:val="24"/>
        </w:rPr>
        <w:t xml:space="preserve"> </w:t>
      </w:r>
      <w:proofErr w:type="spellStart"/>
      <w:r w:rsidRPr="002C4285">
        <w:rPr>
          <w:rFonts w:ascii="Times New Roman" w:hAnsi="Times New Roman" w:cs="Times New Roman"/>
          <w:i/>
          <w:sz w:val="24"/>
          <w:szCs w:val="24"/>
        </w:rPr>
        <w:t>Onc</w:t>
      </w:r>
      <w:proofErr w:type="spellEnd"/>
      <w:r w:rsidRPr="002C4285">
        <w:rPr>
          <w:rFonts w:ascii="Times New Roman" w:hAnsi="Times New Roman" w:cs="Times New Roman"/>
          <w:i/>
          <w:sz w:val="24"/>
          <w:szCs w:val="24"/>
        </w:rPr>
        <w:t xml:space="preserve"> </w:t>
      </w:r>
      <w:r w:rsidRPr="002C4285">
        <w:rPr>
          <w:rFonts w:ascii="Times New Roman" w:hAnsi="Times New Roman" w:cs="Times New Roman"/>
          <w:sz w:val="24"/>
          <w:szCs w:val="24"/>
        </w:rPr>
        <w:t xml:space="preserve">2010; </w:t>
      </w:r>
      <w:r w:rsidRPr="002C4285">
        <w:rPr>
          <w:rFonts w:ascii="Times New Roman" w:hAnsi="Times New Roman" w:cs="Times New Roman"/>
          <w:b/>
          <w:sz w:val="24"/>
          <w:szCs w:val="24"/>
        </w:rPr>
        <w:t>19</w:t>
      </w:r>
      <w:r w:rsidRPr="002C4285">
        <w:rPr>
          <w:rFonts w:ascii="Times New Roman" w:hAnsi="Times New Roman" w:cs="Times New Roman"/>
          <w:sz w:val="24"/>
          <w:szCs w:val="24"/>
        </w:rPr>
        <w:t>: 117-123</w:t>
      </w:r>
    </w:p>
    <w:p w14:paraId="3D0DF86C" w14:textId="77777777" w:rsidR="00D061CF" w:rsidRPr="002C4285" w:rsidRDefault="00D061CF" w:rsidP="00D061CF">
      <w:pPr>
        <w:pStyle w:val="ListParagraph"/>
        <w:rPr>
          <w:rFonts w:ascii="Times New Roman" w:hAnsi="Times New Roman" w:cs="Times New Roman"/>
          <w:sz w:val="24"/>
          <w:szCs w:val="24"/>
        </w:rPr>
      </w:pPr>
      <w:proofErr w:type="gramStart"/>
      <w:r w:rsidRPr="002C4285">
        <w:rPr>
          <w:rFonts w:ascii="Times New Roman" w:hAnsi="Times New Roman" w:cs="Times New Roman"/>
          <w:sz w:val="24"/>
          <w:szCs w:val="24"/>
        </w:rPr>
        <w:t>doi:10.1016/j.suronc</w:t>
      </w:r>
      <w:proofErr w:type="gramEnd"/>
      <w:r w:rsidRPr="002C4285">
        <w:rPr>
          <w:rFonts w:ascii="Times New Roman" w:hAnsi="Times New Roman" w:cs="Times New Roman"/>
          <w:sz w:val="24"/>
          <w:szCs w:val="24"/>
        </w:rPr>
        <w:t>.2009.11.008</w:t>
      </w:r>
    </w:p>
    <w:p w14:paraId="5C001ED3" w14:textId="77777777" w:rsidR="00D061CF" w:rsidRPr="002C4285" w:rsidRDefault="00D061CF" w:rsidP="00D061CF">
      <w:pPr>
        <w:pStyle w:val="ListParagraph"/>
        <w:rPr>
          <w:rFonts w:ascii="Times New Roman" w:hAnsi="Times New Roman" w:cs="Times New Roman"/>
          <w:sz w:val="24"/>
          <w:szCs w:val="24"/>
        </w:rPr>
      </w:pPr>
      <w:r w:rsidRPr="002C4285">
        <w:rPr>
          <w:rFonts w:ascii="Times New Roman" w:hAnsi="Times New Roman" w:cs="Times New Roman"/>
          <w:sz w:val="24"/>
          <w:szCs w:val="24"/>
        </w:rPr>
        <w:t xml:space="preserve">  </w:t>
      </w:r>
    </w:p>
    <w:p w14:paraId="0BAB6B75" w14:textId="77777777" w:rsidR="00D061CF" w:rsidRPr="002C4285" w:rsidRDefault="00D061CF" w:rsidP="00D061CF">
      <w:pPr>
        <w:pStyle w:val="ListParagraph"/>
        <w:numPr>
          <w:ilvl w:val="0"/>
          <w:numId w:val="2"/>
        </w:numPr>
        <w:spacing w:line="240" w:lineRule="auto"/>
        <w:rPr>
          <w:rFonts w:ascii="Times New Roman" w:hAnsi="Times New Roman" w:cs="Times New Roman"/>
          <w:sz w:val="24"/>
          <w:szCs w:val="24"/>
        </w:rPr>
      </w:pPr>
      <w:proofErr w:type="spellStart"/>
      <w:r w:rsidRPr="002C4285">
        <w:rPr>
          <w:rFonts w:ascii="Times New Roman" w:hAnsi="Times New Roman" w:cs="Times New Roman"/>
          <w:sz w:val="24"/>
          <w:szCs w:val="24"/>
        </w:rPr>
        <w:t>Gironés</w:t>
      </w:r>
      <w:proofErr w:type="spellEnd"/>
      <w:r w:rsidRPr="002C4285">
        <w:rPr>
          <w:rFonts w:ascii="Times New Roman" w:hAnsi="Times New Roman" w:cs="Times New Roman"/>
          <w:sz w:val="24"/>
          <w:szCs w:val="24"/>
        </w:rPr>
        <w:t xml:space="preserve"> R., </w:t>
      </w:r>
      <w:proofErr w:type="spellStart"/>
      <w:r w:rsidRPr="002C4285">
        <w:rPr>
          <w:rFonts w:ascii="Times New Roman" w:hAnsi="Times New Roman" w:cs="Times New Roman"/>
          <w:sz w:val="24"/>
          <w:szCs w:val="24"/>
        </w:rPr>
        <w:t>Torregrosa</w:t>
      </w:r>
      <w:proofErr w:type="spellEnd"/>
      <w:r w:rsidRPr="002C4285">
        <w:rPr>
          <w:rFonts w:ascii="Times New Roman" w:hAnsi="Times New Roman" w:cs="Times New Roman"/>
          <w:sz w:val="24"/>
          <w:szCs w:val="24"/>
        </w:rPr>
        <w:t xml:space="preserve"> D., </w:t>
      </w:r>
      <w:proofErr w:type="spellStart"/>
      <w:r w:rsidRPr="002C4285">
        <w:rPr>
          <w:rFonts w:ascii="Times New Roman" w:hAnsi="Times New Roman" w:cs="Times New Roman"/>
          <w:sz w:val="24"/>
          <w:szCs w:val="24"/>
        </w:rPr>
        <w:t>Maestu</w:t>
      </w:r>
      <w:proofErr w:type="spellEnd"/>
      <w:r w:rsidRPr="002C4285">
        <w:rPr>
          <w:rFonts w:ascii="Times New Roman" w:hAnsi="Times New Roman" w:cs="Times New Roman"/>
          <w:sz w:val="24"/>
          <w:szCs w:val="24"/>
        </w:rPr>
        <w:t xml:space="preserve"> I., Gómez-</w:t>
      </w:r>
      <w:proofErr w:type="spellStart"/>
      <w:r w:rsidRPr="002C4285">
        <w:rPr>
          <w:rFonts w:ascii="Times New Roman" w:hAnsi="Times New Roman" w:cs="Times New Roman"/>
          <w:sz w:val="24"/>
          <w:szCs w:val="24"/>
        </w:rPr>
        <w:t>Codina</w:t>
      </w:r>
      <w:proofErr w:type="spellEnd"/>
      <w:r w:rsidRPr="002C4285">
        <w:rPr>
          <w:rFonts w:ascii="Times New Roman" w:hAnsi="Times New Roman" w:cs="Times New Roman"/>
          <w:sz w:val="24"/>
          <w:szCs w:val="24"/>
        </w:rPr>
        <w:t xml:space="preserve"> J., </w:t>
      </w:r>
      <w:proofErr w:type="spellStart"/>
      <w:r w:rsidRPr="002C4285">
        <w:rPr>
          <w:rFonts w:ascii="Times New Roman" w:hAnsi="Times New Roman" w:cs="Times New Roman"/>
          <w:sz w:val="24"/>
          <w:szCs w:val="24"/>
        </w:rPr>
        <w:t>Tenias</w:t>
      </w:r>
      <w:proofErr w:type="spellEnd"/>
      <w:r w:rsidRPr="002C4285">
        <w:rPr>
          <w:rFonts w:ascii="Times New Roman" w:hAnsi="Times New Roman" w:cs="Times New Roman"/>
          <w:sz w:val="24"/>
          <w:szCs w:val="24"/>
        </w:rPr>
        <w:t xml:space="preserve"> M J., Costa R </w:t>
      </w:r>
      <w:proofErr w:type="spellStart"/>
      <w:r w:rsidRPr="002C4285">
        <w:rPr>
          <w:rFonts w:ascii="Times New Roman" w:hAnsi="Times New Roman" w:cs="Times New Roman"/>
          <w:sz w:val="24"/>
          <w:szCs w:val="24"/>
        </w:rPr>
        <w:t>R</w:t>
      </w:r>
      <w:proofErr w:type="spellEnd"/>
      <w:r w:rsidRPr="002C4285">
        <w:rPr>
          <w:rFonts w:ascii="Times New Roman" w:hAnsi="Times New Roman" w:cs="Times New Roman"/>
          <w:sz w:val="24"/>
          <w:szCs w:val="24"/>
        </w:rPr>
        <w:t xml:space="preserve">. Comprehensive geriatric assessment (CGA) of elderly lung cancer patients: A single-centre experience. </w:t>
      </w:r>
      <w:r w:rsidRPr="002C4285">
        <w:rPr>
          <w:rFonts w:ascii="Times New Roman" w:hAnsi="Times New Roman" w:cs="Times New Roman"/>
          <w:i/>
          <w:sz w:val="24"/>
          <w:szCs w:val="24"/>
        </w:rPr>
        <w:t xml:space="preserve">J </w:t>
      </w:r>
      <w:proofErr w:type="spellStart"/>
      <w:r w:rsidRPr="002C4285">
        <w:rPr>
          <w:rFonts w:ascii="Times New Roman" w:hAnsi="Times New Roman" w:cs="Times New Roman"/>
          <w:i/>
          <w:sz w:val="24"/>
          <w:szCs w:val="24"/>
        </w:rPr>
        <w:t>Geriatr</w:t>
      </w:r>
      <w:proofErr w:type="spellEnd"/>
      <w:r w:rsidRPr="002C4285">
        <w:rPr>
          <w:rFonts w:ascii="Times New Roman" w:hAnsi="Times New Roman" w:cs="Times New Roman"/>
          <w:i/>
          <w:sz w:val="24"/>
          <w:szCs w:val="24"/>
        </w:rPr>
        <w:t xml:space="preserve"> </w:t>
      </w:r>
      <w:proofErr w:type="spellStart"/>
      <w:r w:rsidRPr="002C4285">
        <w:rPr>
          <w:rFonts w:ascii="Times New Roman" w:hAnsi="Times New Roman" w:cs="Times New Roman"/>
          <w:i/>
          <w:sz w:val="24"/>
          <w:szCs w:val="24"/>
        </w:rPr>
        <w:t>Oncol</w:t>
      </w:r>
      <w:proofErr w:type="spellEnd"/>
      <w:r w:rsidRPr="002C4285">
        <w:rPr>
          <w:rFonts w:ascii="Times New Roman" w:hAnsi="Times New Roman" w:cs="Times New Roman"/>
          <w:i/>
          <w:sz w:val="24"/>
          <w:szCs w:val="24"/>
        </w:rPr>
        <w:t xml:space="preserve">. </w:t>
      </w:r>
      <w:r w:rsidRPr="002C4285">
        <w:rPr>
          <w:rFonts w:ascii="Times New Roman" w:hAnsi="Times New Roman" w:cs="Times New Roman"/>
          <w:sz w:val="24"/>
          <w:szCs w:val="24"/>
        </w:rPr>
        <w:t xml:space="preserve">2012; </w:t>
      </w:r>
      <w:r w:rsidRPr="002C4285">
        <w:rPr>
          <w:rFonts w:ascii="Times New Roman" w:hAnsi="Times New Roman" w:cs="Times New Roman"/>
          <w:b/>
          <w:sz w:val="24"/>
          <w:szCs w:val="24"/>
        </w:rPr>
        <w:t>3</w:t>
      </w:r>
      <w:r w:rsidRPr="002C4285">
        <w:rPr>
          <w:rFonts w:ascii="Times New Roman" w:hAnsi="Times New Roman" w:cs="Times New Roman"/>
          <w:sz w:val="24"/>
          <w:szCs w:val="24"/>
        </w:rPr>
        <w:t xml:space="preserve">: 98-103, </w:t>
      </w:r>
      <w:proofErr w:type="spellStart"/>
      <w:r w:rsidRPr="002C4285">
        <w:rPr>
          <w:rFonts w:ascii="Times New Roman" w:hAnsi="Times New Roman" w:cs="Times New Roman"/>
          <w:sz w:val="24"/>
          <w:szCs w:val="24"/>
        </w:rPr>
        <w:t>doi</w:t>
      </w:r>
      <w:proofErr w:type="spellEnd"/>
      <w:r w:rsidRPr="002C4285">
        <w:rPr>
          <w:rFonts w:ascii="Times New Roman" w:hAnsi="Times New Roman" w:cs="Times New Roman"/>
          <w:sz w:val="24"/>
          <w:szCs w:val="24"/>
        </w:rPr>
        <w:t>: 10.1016/j.jgo.2011.12.005</w:t>
      </w:r>
    </w:p>
    <w:p w14:paraId="4A462312" w14:textId="77777777" w:rsidR="00D061CF" w:rsidRPr="002C4285" w:rsidRDefault="00D061CF" w:rsidP="00D061CF">
      <w:pPr>
        <w:pStyle w:val="ListParagraph"/>
        <w:rPr>
          <w:rFonts w:ascii="Times New Roman" w:hAnsi="Times New Roman" w:cs="Times New Roman"/>
          <w:sz w:val="24"/>
          <w:szCs w:val="24"/>
        </w:rPr>
      </w:pPr>
    </w:p>
    <w:p w14:paraId="7FBC52E2" w14:textId="77777777" w:rsidR="00D061CF" w:rsidRPr="002C4285" w:rsidRDefault="00D061CF" w:rsidP="00995CFD">
      <w:pPr>
        <w:pStyle w:val="ListParagraph"/>
        <w:numPr>
          <w:ilvl w:val="0"/>
          <w:numId w:val="2"/>
        </w:numPr>
        <w:spacing w:line="240" w:lineRule="auto"/>
        <w:rPr>
          <w:rFonts w:ascii="Times New Roman" w:hAnsi="Times New Roman" w:cs="Times New Roman"/>
          <w:sz w:val="24"/>
          <w:szCs w:val="24"/>
        </w:rPr>
      </w:pPr>
      <w:r w:rsidRPr="002C4285">
        <w:rPr>
          <w:rFonts w:ascii="Times New Roman" w:hAnsi="Times New Roman" w:cs="Times New Roman"/>
          <w:sz w:val="24"/>
          <w:szCs w:val="24"/>
        </w:rPr>
        <w:t xml:space="preserve">Kellen E., </w:t>
      </w:r>
      <w:proofErr w:type="spellStart"/>
      <w:r w:rsidRPr="002C4285">
        <w:rPr>
          <w:rFonts w:ascii="Times New Roman" w:hAnsi="Times New Roman" w:cs="Times New Roman"/>
          <w:sz w:val="24"/>
          <w:szCs w:val="24"/>
        </w:rPr>
        <w:t>Bulens</w:t>
      </w:r>
      <w:proofErr w:type="spellEnd"/>
      <w:r w:rsidRPr="002C4285">
        <w:rPr>
          <w:rFonts w:ascii="Times New Roman" w:hAnsi="Times New Roman" w:cs="Times New Roman"/>
          <w:sz w:val="24"/>
          <w:szCs w:val="24"/>
        </w:rPr>
        <w:t xml:space="preserve"> P., </w:t>
      </w:r>
      <w:proofErr w:type="spellStart"/>
      <w:r w:rsidRPr="002C4285">
        <w:rPr>
          <w:rFonts w:ascii="Times New Roman" w:hAnsi="Times New Roman" w:cs="Times New Roman"/>
          <w:sz w:val="24"/>
          <w:szCs w:val="24"/>
        </w:rPr>
        <w:t>Deckx</w:t>
      </w:r>
      <w:proofErr w:type="spellEnd"/>
      <w:r w:rsidRPr="002C4285">
        <w:rPr>
          <w:rFonts w:ascii="Times New Roman" w:hAnsi="Times New Roman" w:cs="Times New Roman"/>
          <w:sz w:val="24"/>
          <w:szCs w:val="24"/>
        </w:rPr>
        <w:t xml:space="preserve"> L., Schouten H., Van </w:t>
      </w:r>
      <w:proofErr w:type="spellStart"/>
      <w:r w:rsidRPr="002C4285">
        <w:rPr>
          <w:rFonts w:ascii="Times New Roman" w:hAnsi="Times New Roman" w:cs="Times New Roman"/>
          <w:sz w:val="24"/>
          <w:szCs w:val="24"/>
        </w:rPr>
        <w:t>Dijk</w:t>
      </w:r>
      <w:proofErr w:type="spellEnd"/>
      <w:r w:rsidRPr="002C4285">
        <w:rPr>
          <w:rFonts w:ascii="Times New Roman" w:hAnsi="Times New Roman" w:cs="Times New Roman"/>
          <w:sz w:val="24"/>
          <w:szCs w:val="24"/>
        </w:rPr>
        <w:t xml:space="preserve"> M., </w:t>
      </w:r>
      <w:proofErr w:type="spellStart"/>
      <w:r w:rsidRPr="002C4285">
        <w:rPr>
          <w:rFonts w:ascii="Times New Roman" w:hAnsi="Times New Roman" w:cs="Times New Roman"/>
          <w:sz w:val="24"/>
          <w:szCs w:val="24"/>
        </w:rPr>
        <w:t>Verdonck</w:t>
      </w:r>
      <w:proofErr w:type="spellEnd"/>
      <w:r w:rsidRPr="002C4285">
        <w:rPr>
          <w:rFonts w:ascii="Times New Roman" w:hAnsi="Times New Roman" w:cs="Times New Roman"/>
          <w:sz w:val="24"/>
          <w:szCs w:val="24"/>
        </w:rPr>
        <w:t xml:space="preserve"> I., </w:t>
      </w:r>
      <w:proofErr w:type="spellStart"/>
      <w:r w:rsidRPr="002C4285">
        <w:rPr>
          <w:rFonts w:ascii="Times New Roman" w:hAnsi="Times New Roman" w:cs="Times New Roman"/>
          <w:sz w:val="24"/>
          <w:szCs w:val="24"/>
        </w:rPr>
        <w:t>Buntinx</w:t>
      </w:r>
      <w:proofErr w:type="spellEnd"/>
      <w:r w:rsidRPr="002C4285">
        <w:rPr>
          <w:rFonts w:ascii="Times New Roman" w:hAnsi="Times New Roman" w:cs="Times New Roman"/>
          <w:sz w:val="24"/>
          <w:szCs w:val="24"/>
        </w:rPr>
        <w:t xml:space="preserve"> F. Identifying an accurate pre-screening tool in geriatric oncology. </w:t>
      </w:r>
      <w:proofErr w:type="spellStart"/>
      <w:r w:rsidRPr="002C4285">
        <w:rPr>
          <w:rFonts w:ascii="Times New Roman" w:hAnsi="Times New Roman" w:cs="Times New Roman"/>
          <w:i/>
          <w:sz w:val="24"/>
          <w:szCs w:val="24"/>
        </w:rPr>
        <w:t>Crit</w:t>
      </w:r>
      <w:proofErr w:type="spellEnd"/>
      <w:r w:rsidRPr="002C4285">
        <w:rPr>
          <w:rFonts w:ascii="Times New Roman" w:hAnsi="Times New Roman" w:cs="Times New Roman"/>
          <w:i/>
          <w:sz w:val="24"/>
          <w:szCs w:val="24"/>
        </w:rPr>
        <w:t xml:space="preserve"> Rev </w:t>
      </w:r>
      <w:proofErr w:type="spellStart"/>
      <w:r w:rsidRPr="002C4285">
        <w:rPr>
          <w:rFonts w:ascii="Times New Roman" w:hAnsi="Times New Roman" w:cs="Times New Roman"/>
          <w:i/>
          <w:sz w:val="24"/>
          <w:szCs w:val="24"/>
        </w:rPr>
        <w:t>Oncol</w:t>
      </w:r>
      <w:proofErr w:type="spellEnd"/>
      <w:r w:rsidRPr="002C4285">
        <w:rPr>
          <w:rFonts w:ascii="Times New Roman" w:hAnsi="Times New Roman" w:cs="Times New Roman"/>
          <w:i/>
          <w:sz w:val="24"/>
          <w:szCs w:val="24"/>
        </w:rPr>
        <w:t xml:space="preserve">. </w:t>
      </w:r>
      <w:r w:rsidRPr="002C4285">
        <w:rPr>
          <w:rFonts w:ascii="Times New Roman" w:hAnsi="Times New Roman" w:cs="Times New Roman"/>
          <w:sz w:val="24"/>
          <w:szCs w:val="24"/>
        </w:rPr>
        <w:t xml:space="preserve">2010; </w:t>
      </w:r>
      <w:r w:rsidRPr="002C4285">
        <w:rPr>
          <w:rFonts w:ascii="Times New Roman" w:hAnsi="Times New Roman" w:cs="Times New Roman"/>
          <w:b/>
          <w:sz w:val="24"/>
          <w:szCs w:val="24"/>
        </w:rPr>
        <w:t>75</w:t>
      </w:r>
      <w:r w:rsidRPr="002C4285">
        <w:rPr>
          <w:rFonts w:ascii="Times New Roman" w:hAnsi="Times New Roman" w:cs="Times New Roman"/>
          <w:sz w:val="24"/>
          <w:szCs w:val="24"/>
        </w:rPr>
        <w:t>: 243-</w:t>
      </w:r>
      <w:proofErr w:type="gramStart"/>
      <w:r w:rsidRPr="002C4285">
        <w:rPr>
          <w:rFonts w:ascii="Times New Roman" w:hAnsi="Times New Roman" w:cs="Times New Roman"/>
          <w:sz w:val="24"/>
          <w:szCs w:val="24"/>
        </w:rPr>
        <w:t xml:space="preserve">248,   </w:t>
      </w:r>
      <w:proofErr w:type="gramEnd"/>
      <w:r w:rsidRPr="002C4285">
        <w:rPr>
          <w:rFonts w:ascii="Times New Roman" w:hAnsi="Times New Roman" w:cs="Times New Roman"/>
          <w:sz w:val="24"/>
          <w:szCs w:val="24"/>
        </w:rPr>
        <w:t xml:space="preserve">                                                    </w:t>
      </w:r>
      <w:proofErr w:type="spellStart"/>
      <w:r w:rsidRPr="002C4285">
        <w:rPr>
          <w:rFonts w:ascii="Times New Roman" w:hAnsi="Times New Roman" w:cs="Times New Roman"/>
          <w:sz w:val="24"/>
          <w:szCs w:val="24"/>
        </w:rPr>
        <w:t>doi</w:t>
      </w:r>
      <w:proofErr w:type="spellEnd"/>
      <w:r w:rsidRPr="002C4285">
        <w:rPr>
          <w:rFonts w:ascii="Times New Roman" w:hAnsi="Times New Roman" w:cs="Times New Roman"/>
          <w:sz w:val="24"/>
          <w:szCs w:val="24"/>
        </w:rPr>
        <w:t>: 10.1016/j.citrevonc.2009.12.002</w:t>
      </w:r>
    </w:p>
    <w:p w14:paraId="76C4B723" w14:textId="77777777" w:rsidR="00995CFD" w:rsidRPr="002C4285" w:rsidRDefault="00995CFD" w:rsidP="00995CFD">
      <w:pPr>
        <w:pStyle w:val="ListParagraph"/>
        <w:rPr>
          <w:rFonts w:ascii="Times New Roman" w:hAnsi="Times New Roman" w:cs="Times New Roman"/>
          <w:sz w:val="24"/>
          <w:szCs w:val="24"/>
        </w:rPr>
      </w:pPr>
    </w:p>
    <w:p w14:paraId="73B2B079" w14:textId="77777777" w:rsidR="00995CFD" w:rsidRPr="002C4285" w:rsidRDefault="00995CFD" w:rsidP="00995CFD">
      <w:pPr>
        <w:pStyle w:val="ListParagraph"/>
        <w:spacing w:line="240" w:lineRule="auto"/>
        <w:rPr>
          <w:rFonts w:ascii="Times New Roman" w:hAnsi="Times New Roman" w:cs="Times New Roman"/>
          <w:sz w:val="24"/>
          <w:szCs w:val="24"/>
        </w:rPr>
      </w:pPr>
    </w:p>
    <w:p w14:paraId="29290E6A" w14:textId="77777777" w:rsidR="00D061CF" w:rsidRPr="002C4285" w:rsidRDefault="00D061CF" w:rsidP="00D061CF">
      <w:pPr>
        <w:pStyle w:val="ListParagraph"/>
        <w:numPr>
          <w:ilvl w:val="0"/>
          <w:numId w:val="2"/>
        </w:numPr>
        <w:rPr>
          <w:rFonts w:ascii="Times New Roman" w:hAnsi="Times New Roman" w:cs="Times New Roman"/>
          <w:sz w:val="24"/>
          <w:szCs w:val="24"/>
        </w:rPr>
      </w:pPr>
      <w:proofErr w:type="spellStart"/>
      <w:r w:rsidRPr="002C4285">
        <w:rPr>
          <w:rFonts w:ascii="Times New Roman" w:hAnsi="Times New Roman" w:cs="Times New Roman"/>
          <w:sz w:val="24"/>
          <w:szCs w:val="24"/>
        </w:rPr>
        <w:t>Saliba</w:t>
      </w:r>
      <w:proofErr w:type="spellEnd"/>
      <w:r w:rsidRPr="002C4285">
        <w:rPr>
          <w:rFonts w:ascii="Times New Roman" w:hAnsi="Times New Roman" w:cs="Times New Roman"/>
          <w:sz w:val="24"/>
          <w:szCs w:val="24"/>
        </w:rPr>
        <w:t xml:space="preserve"> D., Elliot M., Rubenstein L Z., Solomon D H., Young R T., </w:t>
      </w:r>
      <w:proofErr w:type="spellStart"/>
      <w:r w:rsidRPr="002C4285">
        <w:rPr>
          <w:rFonts w:ascii="Times New Roman" w:hAnsi="Times New Roman" w:cs="Times New Roman"/>
          <w:sz w:val="24"/>
          <w:szCs w:val="24"/>
        </w:rPr>
        <w:t>Kamberg</w:t>
      </w:r>
      <w:proofErr w:type="spellEnd"/>
      <w:r w:rsidRPr="002C4285">
        <w:rPr>
          <w:rFonts w:ascii="Times New Roman" w:hAnsi="Times New Roman" w:cs="Times New Roman"/>
          <w:sz w:val="24"/>
          <w:szCs w:val="24"/>
        </w:rPr>
        <w:t xml:space="preserve"> C J., Roth C., Maclean C h., </w:t>
      </w:r>
      <w:proofErr w:type="spellStart"/>
      <w:r w:rsidRPr="002C4285">
        <w:rPr>
          <w:rFonts w:ascii="Times New Roman" w:hAnsi="Times New Roman" w:cs="Times New Roman"/>
          <w:sz w:val="24"/>
          <w:szCs w:val="24"/>
        </w:rPr>
        <w:t>Shekelle</w:t>
      </w:r>
      <w:proofErr w:type="spellEnd"/>
      <w:r w:rsidRPr="002C4285">
        <w:rPr>
          <w:rFonts w:ascii="Times New Roman" w:hAnsi="Times New Roman" w:cs="Times New Roman"/>
          <w:sz w:val="24"/>
          <w:szCs w:val="24"/>
        </w:rPr>
        <w:t xml:space="preserve"> P G., </w:t>
      </w:r>
      <w:proofErr w:type="spellStart"/>
      <w:r w:rsidRPr="002C4285">
        <w:rPr>
          <w:rFonts w:ascii="Times New Roman" w:hAnsi="Times New Roman" w:cs="Times New Roman"/>
          <w:sz w:val="24"/>
          <w:szCs w:val="24"/>
        </w:rPr>
        <w:t>Sloss</w:t>
      </w:r>
      <w:proofErr w:type="spellEnd"/>
      <w:r w:rsidRPr="002C4285">
        <w:rPr>
          <w:rFonts w:ascii="Times New Roman" w:hAnsi="Times New Roman" w:cs="Times New Roman"/>
          <w:sz w:val="24"/>
          <w:szCs w:val="24"/>
        </w:rPr>
        <w:t xml:space="preserve"> E M., Wenger N S. The Vulnerable Elders Survey: A tool for identifying vulnerable older people in the community. </w:t>
      </w:r>
      <w:r w:rsidRPr="002C4285">
        <w:rPr>
          <w:rFonts w:ascii="Times New Roman" w:hAnsi="Times New Roman" w:cs="Times New Roman"/>
          <w:i/>
          <w:sz w:val="24"/>
          <w:szCs w:val="24"/>
        </w:rPr>
        <w:t xml:space="preserve">J Am </w:t>
      </w:r>
      <w:proofErr w:type="spellStart"/>
      <w:r w:rsidRPr="002C4285">
        <w:rPr>
          <w:rFonts w:ascii="Times New Roman" w:hAnsi="Times New Roman" w:cs="Times New Roman"/>
          <w:i/>
          <w:sz w:val="24"/>
          <w:szCs w:val="24"/>
        </w:rPr>
        <w:t>Geriatr</w:t>
      </w:r>
      <w:proofErr w:type="spellEnd"/>
      <w:r w:rsidRPr="002C4285">
        <w:rPr>
          <w:rFonts w:ascii="Times New Roman" w:hAnsi="Times New Roman" w:cs="Times New Roman"/>
          <w:i/>
          <w:sz w:val="24"/>
          <w:szCs w:val="24"/>
        </w:rPr>
        <w:t xml:space="preserve"> Soc. </w:t>
      </w:r>
      <w:r w:rsidRPr="002C4285">
        <w:rPr>
          <w:rFonts w:ascii="Times New Roman" w:hAnsi="Times New Roman" w:cs="Times New Roman"/>
          <w:sz w:val="24"/>
          <w:szCs w:val="24"/>
        </w:rPr>
        <w:t xml:space="preserve">2001; </w:t>
      </w:r>
      <w:r w:rsidRPr="002C4285">
        <w:rPr>
          <w:rFonts w:ascii="Times New Roman" w:hAnsi="Times New Roman" w:cs="Times New Roman"/>
          <w:b/>
          <w:sz w:val="24"/>
          <w:szCs w:val="24"/>
        </w:rPr>
        <w:t>49</w:t>
      </w:r>
      <w:r w:rsidRPr="002C4285">
        <w:rPr>
          <w:rFonts w:ascii="Times New Roman" w:hAnsi="Times New Roman" w:cs="Times New Roman"/>
          <w:sz w:val="24"/>
          <w:szCs w:val="24"/>
        </w:rPr>
        <w:t xml:space="preserve">: 1691-1699, </w:t>
      </w:r>
    </w:p>
    <w:p w14:paraId="271AC71C" w14:textId="77777777" w:rsidR="00D061CF" w:rsidRPr="002C4285" w:rsidRDefault="00D061CF" w:rsidP="00D061CF">
      <w:pPr>
        <w:pStyle w:val="ListParagraph"/>
        <w:rPr>
          <w:rFonts w:ascii="Times New Roman" w:hAnsi="Times New Roman" w:cs="Times New Roman"/>
          <w:sz w:val="24"/>
          <w:szCs w:val="24"/>
        </w:rPr>
      </w:pPr>
      <w:r w:rsidRPr="002C4285">
        <w:rPr>
          <w:rFonts w:ascii="Times New Roman" w:hAnsi="Times New Roman" w:cs="Times New Roman"/>
          <w:sz w:val="24"/>
          <w:szCs w:val="24"/>
        </w:rPr>
        <w:t>Doi.org/10.1046/j.1532-5415.2001</w:t>
      </w:r>
    </w:p>
    <w:p w14:paraId="49554567" w14:textId="77777777" w:rsidR="00995CFD" w:rsidRPr="002C4285" w:rsidRDefault="00995CFD" w:rsidP="00D061CF">
      <w:pPr>
        <w:pStyle w:val="ListParagraph"/>
        <w:rPr>
          <w:rFonts w:ascii="Times New Roman" w:hAnsi="Times New Roman" w:cs="Times New Roman"/>
          <w:sz w:val="24"/>
          <w:szCs w:val="24"/>
        </w:rPr>
      </w:pPr>
    </w:p>
    <w:p w14:paraId="67545E27" w14:textId="77777777" w:rsidR="00D061CF" w:rsidRPr="002C4285" w:rsidRDefault="00D061CF" w:rsidP="00D061CF">
      <w:pPr>
        <w:pStyle w:val="ListParagraph"/>
        <w:numPr>
          <w:ilvl w:val="0"/>
          <w:numId w:val="2"/>
        </w:numPr>
        <w:rPr>
          <w:rFonts w:ascii="Times New Roman" w:eastAsia="Verdana" w:hAnsi="Times New Roman" w:cs="Times New Roman"/>
          <w:sz w:val="24"/>
          <w:szCs w:val="24"/>
        </w:rPr>
      </w:pPr>
      <w:proofErr w:type="spellStart"/>
      <w:r w:rsidRPr="002C4285">
        <w:rPr>
          <w:rFonts w:ascii="Times New Roman" w:eastAsia="Verdana" w:hAnsi="Times New Roman" w:cs="Times New Roman"/>
          <w:sz w:val="24"/>
          <w:szCs w:val="24"/>
        </w:rPr>
        <w:t>Mohile</w:t>
      </w:r>
      <w:proofErr w:type="spellEnd"/>
      <w:r w:rsidRPr="002C4285">
        <w:rPr>
          <w:rFonts w:ascii="Times New Roman" w:eastAsia="Verdana" w:hAnsi="Times New Roman" w:cs="Times New Roman"/>
          <w:sz w:val="24"/>
          <w:szCs w:val="24"/>
        </w:rPr>
        <w:t xml:space="preserve"> A G., </w:t>
      </w:r>
      <w:proofErr w:type="spellStart"/>
      <w:r w:rsidRPr="002C4285">
        <w:rPr>
          <w:rFonts w:ascii="Times New Roman" w:eastAsia="Verdana" w:hAnsi="Times New Roman" w:cs="Times New Roman"/>
          <w:sz w:val="24"/>
          <w:szCs w:val="24"/>
        </w:rPr>
        <w:t>Bylow</w:t>
      </w:r>
      <w:proofErr w:type="spellEnd"/>
      <w:r w:rsidRPr="002C4285">
        <w:rPr>
          <w:rFonts w:ascii="Times New Roman" w:eastAsia="Verdana" w:hAnsi="Times New Roman" w:cs="Times New Roman"/>
          <w:sz w:val="24"/>
          <w:szCs w:val="24"/>
        </w:rPr>
        <w:t xml:space="preserve"> K., Dale W., </w:t>
      </w:r>
      <w:proofErr w:type="spellStart"/>
      <w:r w:rsidRPr="002C4285">
        <w:rPr>
          <w:rFonts w:ascii="Times New Roman" w:eastAsia="Verdana" w:hAnsi="Times New Roman" w:cs="Times New Roman"/>
          <w:sz w:val="24"/>
          <w:szCs w:val="24"/>
        </w:rPr>
        <w:t>Dignam</w:t>
      </w:r>
      <w:proofErr w:type="spellEnd"/>
      <w:r w:rsidRPr="002C4285">
        <w:rPr>
          <w:rFonts w:ascii="Times New Roman" w:eastAsia="Verdana" w:hAnsi="Times New Roman" w:cs="Times New Roman"/>
          <w:sz w:val="24"/>
          <w:szCs w:val="24"/>
        </w:rPr>
        <w:t xml:space="preserve"> J., Martin K., </w:t>
      </w:r>
      <w:proofErr w:type="spellStart"/>
      <w:r w:rsidRPr="002C4285">
        <w:rPr>
          <w:rFonts w:ascii="Times New Roman" w:eastAsia="Verdana" w:hAnsi="Times New Roman" w:cs="Times New Roman"/>
          <w:sz w:val="24"/>
          <w:szCs w:val="24"/>
        </w:rPr>
        <w:t>Petrylak</w:t>
      </w:r>
      <w:proofErr w:type="spellEnd"/>
      <w:r w:rsidRPr="002C4285">
        <w:rPr>
          <w:rFonts w:ascii="Times New Roman" w:eastAsia="Verdana" w:hAnsi="Times New Roman" w:cs="Times New Roman"/>
          <w:sz w:val="24"/>
          <w:szCs w:val="24"/>
        </w:rPr>
        <w:t xml:space="preserve"> D P., </w:t>
      </w:r>
      <w:proofErr w:type="spellStart"/>
      <w:r w:rsidRPr="002C4285">
        <w:rPr>
          <w:rFonts w:ascii="Times New Roman" w:eastAsia="Verdana" w:hAnsi="Times New Roman" w:cs="Times New Roman"/>
          <w:sz w:val="24"/>
          <w:szCs w:val="24"/>
        </w:rPr>
        <w:t>Stadler</w:t>
      </w:r>
      <w:proofErr w:type="spellEnd"/>
      <w:r w:rsidRPr="002C4285">
        <w:rPr>
          <w:rFonts w:ascii="Times New Roman" w:eastAsia="Verdana" w:hAnsi="Times New Roman" w:cs="Times New Roman"/>
          <w:sz w:val="24"/>
          <w:szCs w:val="24"/>
        </w:rPr>
        <w:t xml:space="preserve"> W M., Rodin M. A pilot study of the Vulnerable Elders Survey-13 compared with the Comprehensive Geriatric Assessment for identifying </w:t>
      </w:r>
      <w:r w:rsidRPr="002C4285">
        <w:rPr>
          <w:rFonts w:ascii="Times New Roman" w:eastAsia="Verdana" w:hAnsi="Times New Roman" w:cs="Times New Roman"/>
          <w:sz w:val="24"/>
          <w:szCs w:val="24"/>
        </w:rPr>
        <w:lastRenderedPageBreak/>
        <w:t xml:space="preserve">disability in older patients with prostate cancer who receive androgen ablation. </w:t>
      </w:r>
      <w:r w:rsidRPr="002C4285">
        <w:rPr>
          <w:rFonts w:ascii="Times New Roman" w:eastAsia="Verdana" w:hAnsi="Times New Roman" w:cs="Times New Roman"/>
          <w:i/>
          <w:iCs/>
          <w:sz w:val="24"/>
          <w:szCs w:val="24"/>
        </w:rPr>
        <w:t>Cancer</w:t>
      </w:r>
      <w:r w:rsidRPr="002C4285">
        <w:rPr>
          <w:rFonts w:ascii="Times New Roman" w:eastAsia="Verdana" w:hAnsi="Times New Roman" w:cs="Times New Roman"/>
          <w:sz w:val="24"/>
          <w:szCs w:val="24"/>
        </w:rPr>
        <w:t xml:space="preserve"> 2007; </w:t>
      </w:r>
      <w:r w:rsidRPr="002C4285">
        <w:rPr>
          <w:rFonts w:ascii="Times New Roman" w:eastAsia="Verdana" w:hAnsi="Times New Roman" w:cs="Times New Roman"/>
          <w:b/>
          <w:bCs/>
          <w:sz w:val="24"/>
          <w:szCs w:val="24"/>
        </w:rPr>
        <w:t>109</w:t>
      </w:r>
      <w:r w:rsidRPr="002C4285">
        <w:rPr>
          <w:rFonts w:ascii="Times New Roman" w:eastAsia="Verdana" w:hAnsi="Times New Roman" w:cs="Times New Roman"/>
          <w:sz w:val="24"/>
          <w:szCs w:val="24"/>
        </w:rPr>
        <w:t>:802-810, doi:10.1002/cncr.22495</w:t>
      </w:r>
    </w:p>
    <w:p w14:paraId="2AACE0ED" w14:textId="77777777" w:rsidR="00D061CF" w:rsidRPr="002C4285" w:rsidRDefault="00D061CF" w:rsidP="00D061CF">
      <w:pPr>
        <w:pStyle w:val="ListParagraph"/>
        <w:rPr>
          <w:rFonts w:ascii="Times New Roman" w:eastAsia="Verdana" w:hAnsi="Times New Roman" w:cs="Times New Roman"/>
          <w:sz w:val="24"/>
          <w:szCs w:val="24"/>
        </w:rPr>
      </w:pPr>
    </w:p>
    <w:p w14:paraId="453DA702" w14:textId="77777777" w:rsidR="00D061CF" w:rsidRPr="002C4285" w:rsidRDefault="00D061CF" w:rsidP="00D061CF">
      <w:pPr>
        <w:pStyle w:val="ListParagraph"/>
        <w:rPr>
          <w:rFonts w:ascii="Times New Roman" w:eastAsia="Verdana" w:hAnsi="Times New Roman" w:cs="Times New Roman"/>
          <w:sz w:val="24"/>
          <w:szCs w:val="24"/>
        </w:rPr>
      </w:pPr>
    </w:p>
    <w:p w14:paraId="693CD96E" w14:textId="77777777" w:rsidR="00D061CF" w:rsidRPr="002C4285" w:rsidRDefault="00D061CF" w:rsidP="00D061CF">
      <w:pPr>
        <w:pStyle w:val="ListParagraph"/>
        <w:rPr>
          <w:rFonts w:ascii="Times New Roman" w:eastAsia="Verdana" w:hAnsi="Times New Roman" w:cs="Times New Roman"/>
          <w:sz w:val="24"/>
          <w:szCs w:val="24"/>
        </w:rPr>
      </w:pPr>
    </w:p>
    <w:p w14:paraId="5E6E4BC4" w14:textId="77777777" w:rsidR="00D061CF" w:rsidRPr="002C4285" w:rsidRDefault="00D061CF" w:rsidP="00D061CF">
      <w:pPr>
        <w:pStyle w:val="ListParagraph"/>
        <w:rPr>
          <w:rFonts w:ascii="Times New Roman" w:eastAsia="Verdana" w:hAnsi="Times New Roman" w:cs="Times New Roman"/>
          <w:sz w:val="24"/>
          <w:szCs w:val="24"/>
        </w:rPr>
      </w:pPr>
    </w:p>
    <w:p w14:paraId="485D933E" w14:textId="77777777" w:rsidR="00D061CF" w:rsidRPr="002C4285" w:rsidRDefault="00D061CF" w:rsidP="00D061CF">
      <w:pPr>
        <w:pStyle w:val="ListParagraph"/>
        <w:rPr>
          <w:rFonts w:ascii="Times New Roman" w:eastAsia="Verdana" w:hAnsi="Times New Roman" w:cs="Times New Roman"/>
          <w:sz w:val="24"/>
          <w:szCs w:val="24"/>
        </w:rPr>
      </w:pPr>
    </w:p>
    <w:p w14:paraId="48E680B9" w14:textId="77777777" w:rsidR="00D061CF" w:rsidRPr="002C4285" w:rsidRDefault="00D061CF" w:rsidP="00D061CF">
      <w:pPr>
        <w:pStyle w:val="ListParagraph"/>
        <w:numPr>
          <w:ilvl w:val="0"/>
          <w:numId w:val="2"/>
        </w:numPr>
        <w:rPr>
          <w:rFonts w:ascii="Times New Roman" w:eastAsia="Verdana" w:hAnsi="Times New Roman" w:cs="Times New Roman"/>
          <w:sz w:val="24"/>
          <w:szCs w:val="24"/>
        </w:rPr>
      </w:pPr>
      <w:proofErr w:type="spellStart"/>
      <w:r w:rsidRPr="002C4285">
        <w:rPr>
          <w:rFonts w:ascii="Times New Roman" w:eastAsia="Verdana" w:hAnsi="Times New Roman" w:cs="Times New Roman"/>
          <w:sz w:val="24"/>
          <w:szCs w:val="24"/>
        </w:rPr>
        <w:t>Hurria</w:t>
      </w:r>
      <w:proofErr w:type="spellEnd"/>
      <w:r w:rsidRPr="002C4285">
        <w:rPr>
          <w:rFonts w:ascii="Times New Roman" w:eastAsia="Verdana" w:hAnsi="Times New Roman" w:cs="Times New Roman"/>
          <w:sz w:val="24"/>
          <w:szCs w:val="24"/>
        </w:rPr>
        <w:t xml:space="preserve"> A., Gupta, S., </w:t>
      </w:r>
      <w:proofErr w:type="spellStart"/>
      <w:r w:rsidRPr="002C4285">
        <w:rPr>
          <w:rFonts w:ascii="Times New Roman" w:eastAsia="Verdana" w:hAnsi="Times New Roman" w:cs="Times New Roman"/>
          <w:sz w:val="24"/>
          <w:szCs w:val="24"/>
        </w:rPr>
        <w:t>Zauderer</w:t>
      </w:r>
      <w:proofErr w:type="spellEnd"/>
      <w:r w:rsidRPr="002C4285">
        <w:rPr>
          <w:rFonts w:ascii="Times New Roman" w:eastAsia="Verdana" w:hAnsi="Times New Roman" w:cs="Times New Roman"/>
          <w:sz w:val="24"/>
          <w:szCs w:val="24"/>
        </w:rPr>
        <w:t xml:space="preserve"> M., Zuckerman E L., Cohen H J., Muss H., Rodin M., </w:t>
      </w:r>
      <w:proofErr w:type="spellStart"/>
      <w:r w:rsidRPr="002C4285">
        <w:rPr>
          <w:rFonts w:ascii="Times New Roman" w:eastAsia="Verdana" w:hAnsi="Times New Roman" w:cs="Times New Roman"/>
          <w:sz w:val="24"/>
          <w:szCs w:val="24"/>
        </w:rPr>
        <w:t>Panageas</w:t>
      </w:r>
      <w:proofErr w:type="spellEnd"/>
      <w:r w:rsidRPr="002C4285">
        <w:rPr>
          <w:rFonts w:ascii="Times New Roman" w:eastAsia="Verdana" w:hAnsi="Times New Roman" w:cs="Times New Roman"/>
          <w:sz w:val="24"/>
          <w:szCs w:val="24"/>
        </w:rPr>
        <w:t xml:space="preserve"> K s., Holland J C., </w:t>
      </w:r>
      <w:proofErr w:type="spellStart"/>
      <w:r w:rsidRPr="002C4285">
        <w:rPr>
          <w:rFonts w:ascii="Times New Roman" w:eastAsia="Verdana" w:hAnsi="Times New Roman" w:cs="Times New Roman"/>
          <w:sz w:val="24"/>
          <w:szCs w:val="24"/>
        </w:rPr>
        <w:t>Saltz</w:t>
      </w:r>
      <w:proofErr w:type="spellEnd"/>
      <w:r w:rsidRPr="002C4285">
        <w:rPr>
          <w:rFonts w:ascii="Times New Roman" w:eastAsia="Verdana" w:hAnsi="Times New Roman" w:cs="Times New Roman"/>
          <w:sz w:val="24"/>
          <w:szCs w:val="24"/>
        </w:rPr>
        <w:t xml:space="preserve"> L., Kris M G., </w:t>
      </w:r>
      <w:proofErr w:type="spellStart"/>
      <w:r w:rsidRPr="002C4285">
        <w:rPr>
          <w:rFonts w:ascii="Times New Roman" w:eastAsia="Verdana" w:hAnsi="Times New Roman" w:cs="Times New Roman"/>
          <w:sz w:val="24"/>
          <w:szCs w:val="24"/>
        </w:rPr>
        <w:t>Noy</w:t>
      </w:r>
      <w:proofErr w:type="spellEnd"/>
      <w:r w:rsidRPr="002C4285">
        <w:rPr>
          <w:rFonts w:ascii="Times New Roman" w:eastAsia="Verdana" w:hAnsi="Times New Roman" w:cs="Times New Roman"/>
          <w:sz w:val="24"/>
          <w:szCs w:val="24"/>
        </w:rPr>
        <w:t xml:space="preserve"> A., Gomez J., </w:t>
      </w:r>
      <w:proofErr w:type="spellStart"/>
      <w:r w:rsidRPr="002C4285">
        <w:rPr>
          <w:rFonts w:ascii="Times New Roman" w:eastAsia="Verdana" w:hAnsi="Times New Roman" w:cs="Times New Roman"/>
          <w:sz w:val="24"/>
          <w:szCs w:val="24"/>
        </w:rPr>
        <w:t>Jakubowski</w:t>
      </w:r>
      <w:proofErr w:type="spellEnd"/>
      <w:r w:rsidRPr="002C4285">
        <w:rPr>
          <w:rFonts w:ascii="Times New Roman" w:eastAsia="Verdana" w:hAnsi="Times New Roman" w:cs="Times New Roman"/>
          <w:sz w:val="24"/>
          <w:szCs w:val="24"/>
        </w:rPr>
        <w:t xml:space="preserve"> A., </w:t>
      </w:r>
      <w:proofErr w:type="spellStart"/>
      <w:r w:rsidRPr="002C4285">
        <w:rPr>
          <w:rFonts w:ascii="Times New Roman" w:eastAsia="Verdana" w:hAnsi="Times New Roman" w:cs="Times New Roman"/>
          <w:sz w:val="24"/>
          <w:szCs w:val="24"/>
        </w:rPr>
        <w:t>Hudis</w:t>
      </w:r>
      <w:proofErr w:type="spellEnd"/>
      <w:r w:rsidRPr="002C4285">
        <w:rPr>
          <w:rFonts w:ascii="Times New Roman" w:eastAsia="Verdana" w:hAnsi="Times New Roman" w:cs="Times New Roman"/>
          <w:sz w:val="24"/>
          <w:szCs w:val="24"/>
        </w:rPr>
        <w:t xml:space="preserve"> C., </w:t>
      </w:r>
      <w:proofErr w:type="spellStart"/>
      <w:r w:rsidRPr="002C4285">
        <w:rPr>
          <w:rFonts w:ascii="Times New Roman" w:eastAsia="Verdana" w:hAnsi="Times New Roman" w:cs="Times New Roman"/>
          <w:sz w:val="24"/>
          <w:szCs w:val="24"/>
        </w:rPr>
        <w:t>Kornblith</w:t>
      </w:r>
      <w:proofErr w:type="spellEnd"/>
      <w:r w:rsidRPr="002C4285">
        <w:rPr>
          <w:rFonts w:ascii="Times New Roman" w:eastAsia="Verdana" w:hAnsi="Times New Roman" w:cs="Times New Roman"/>
          <w:sz w:val="24"/>
          <w:szCs w:val="24"/>
        </w:rPr>
        <w:t xml:space="preserve"> A B. Developing a cancer-specific geriatric assessment. </w:t>
      </w:r>
      <w:r w:rsidRPr="002C4285">
        <w:rPr>
          <w:rFonts w:ascii="Times New Roman" w:eastAsia="Verdana" w:hAnsi="Times New Roman" w:cs="Times New Roman"/>
          <w:i/>
          <w:sz w:val="24"/>
          <w:szCs w:val="24"/>
        </w:rPr>
        <w:t>Cancer</w:t>
      </w:r>
      <w:r w:rsidRPr="002C4285">
        <w:rPr>
          <w:rFonts w:ascii="Times New Roman" w:eastAsia="Verdana" w:hAnsi="Times New Roman" w:cs="Times New Roman"/>
          <w:sz w:val="24"/>
          <w:szCs w:val="24"/>
        </w:rPr>
        <w:t xml:space="preserve"> 2005; </w:t>
      </w:r>
      <w:r w:rsidRPr="002C4285">
        <w:rPr>
          <w:rFonts w:ascii="Times New Roman" w:eastAsia="Verdana" w:hAnsi="Times New Roman" w:cs="Times New Roman"/>
          <w:b/>
          <w:sz w:val="24"/>
          <w:szCs w:val="24"/>
        </w:rPr>
        <w:t>104</w:t>
      </w:r>
      <w:r w:rsidRPr="002C4285">
        <w:rPr>
          <w:rFonts w:ascii="Times New Roman" w:eastAsia="Verdana" w:hAnsi="Times New Roman" w:cs="Times New Roman"/>
          <w:sz w:val="24"/>
          <w:szCs w:val="24"/>
        </w:rPr>
        <w:t xml:space="preserve">: 1998-2005, </w:t>
      </w:r>
      <w:proofErr w:type="spellStart"/>
      <w:r w:rsidRPr="002C4285">
        <w:rPr>
          <w:rFonts w:ascii="Times New Roman" w:eastAsia="Verdana" w:hAnsi="Times New Roman" w:cs="Times New Roman"/>
          <w:sz w:val="24"/>
          <w:szCs w:val="24"/>
        </w:rPr>
        <w:t>doi</w:t>
      </w:r>
      <w:proofErr w:type="spellEnd"/>
      <w:r w:rsidRPr="002C4285">
        <w:rPr>
          <w:rFonts w:ascii="Times New Roman" w:eastAsia="Verdana" w:hAnsi="Times New Roman" w:cs="Times New Roman"/>
          <w:sz w:val="24"/>
          <w:szCs w:val="24"/>
        </w:rPr>
        <w:t>: 10.1002/cncr.21422</w:t>
      </w:r>
    </w:p>
    <w:p w14:paraId="4DE512D2" w14:textId="77777777" w:rsidR="00D061CF" w:rsidRPr="002C4285" w:rsidRDefault="00D061CF" w:rsidP="00D061CF">
      <w:pPr>
        <w:pStyle w:val="ListParagraph"/>
        <w:rPr>
          <w:rFonts w:ascii="Times New Roman" w:eastAsia="Verdana" w:hAnsi="Times New Roman" w:cs="Times New Roman"/>
          <w:sz w:val="24"/>
          <w:szCs w:val="24"/>
        </w:rPr>
      </w:pPr>
    </w:p>
    <w:p w14:paraId="680FE56B" w14:textId="77777777" w:rsidR="00D061CF" w:rsidRPr="002C4285" w:rsidRDefault="00D061CF" w:rsidP="00D061CF">
      <w:pPr>
        <w:pStyle w:val="ListParagraph"/>
        <w:numPr>
          <w:ilvl w:val="0"/>
          <w:numId w:val="2"/>
        </w:numPr>
        <w:rPr>
          <w:rFonts w:ascii="Times New Roman" w:eastAsia="Verdana" w:hAnsi="Times New Roman" w:cs="Times New Roman"/>
          <w:sz w:val="24"/>
          <w:szCs w:val="24"/>
        </w:rPr>
      </w:pPr>
      <w:proofErr w:type="spellStart"/>
      <w:r w:rsidRPr="002C4285">
        <w:rPr>
          <w:rFonts w:ascii="Times New Roman" w:eastAsia="Verdana" w:hAnsi="Times New Roman" w:cs="Times New Roman"/>
          <w:sz w:val="24"/>
          <w:szCs w:val="24"/>
        </w:rPr>
        <w:t>Repetto</w:t>
      </w:r>
      <w:proofErr w:type="spellEnd"/>
      <w:r w:rsidRPr="002C4285">
        <w:rPr>
          <w:rFonts w:ascii="Times New Roman" w:eastAsia="Verdana" w:hAnsi="Times New Roman" w:cs="Times New Roman"/>
          <w:sz w:val="24"/>
          <w:szCs w:val="24"/>
        </w:rPr>
        <w:t xml:space="preserve"> L., </w:t>
      </w:r>
      <w:proofErr w:type="spellStart"/>
      <w:r w:rsidRPr="002C4285">
        <w:rPr>
          <w:rFonts w:ascii="Times New Roman" w:eastAsia="Verdana" w:hAnsi="Times New Roman" w:cs="Times New Roman"/>
          <w:sz w:val="24"/>
          <w:szCs w:val="24"/>
        </w:rPr>
        <w:t>Fratino</w:t>
      </w:r>
      <w:proofErr w:type="spellEnd"/>
      <w:r w:rsidRPr="002C4285">
        <w:rPr>
          <w:rFonts w:ascii="Times New Roman" w:eastAsia="Verdana" w:hAnsi="Times New Roman" w:cs="Times New Roman"/>
          <w:sz w:val="24"/>
          <w:szCs w:val="24"/>
        </w:rPr>
        <w:t xml:space="preserve"> L., </w:t>
      </w:r>
      <w:proofErr w:type="spellStart"/>
      <w:r w:rsidRPr="002C4285">
        <w:rPr>
          <w:rFonts w:ascii="Times New Roman" w:eastAsia="Verdana" w:hAnsi="Times New Roman" w:cs="Times New Roman"/>
          <w:sz w:val="24"/>
          <w:szCs w:val="24"/>
        </w:rPr>
        <w:t>Audisio</w:t>
      </w:r>
      <w:proofErr w:type="spellEnd"/>
      <w:r w:rsidRPr="002C4285">
        <w:rPr>
          <w:rFonts w:ascii="Times New Roman" w:eastAsia="Verdana" w:hAnsi="Times New Roman" w:cs="Times New Roman"/>
          <w:sz w:val="24"/>
          <w:szCs w:val="24"/>
        </w:rPr>
        <w:t xml:space="preserve"> R A., </w:t>
      </w:r>
      <w:proofErr w:type="spellStart"/>
      <w:r w:rsidRPr="002C4285">
        <w:rPr>
          <w:rFonts w:ascii="Times New Roman" w:eastAsia="Verdana" w:hAnsi="Times New Roman" w:cs="Times New Roman"/>
          <w:sz w:val="24"/>
          <w:szCs w:val="24"/>
        </w:rPr>
        <w:t>Venturino</w:t>
      </w:r>
      <w:proofErr w:type="spellEnd"/>
      <w:r w:rsidRPr="002C4285">
        <w:rPr>
          <w:rFonts w:ascii="Times New Roman" w:eastAsia="Verdana" w:hAnsi="Times New Roman" w:cs="Times New Roman"/>
          <w:sz w:val="24"/>
          <w:szCs w:val="24"/>
        </w:rPr>
        <w:t xml:space="preserve"> A., Gianni W., Vercelli M., Stefano P., Dal Lago D., </w:t>
      </w:r>
      <w:proofErr w:type="spellStart"/>
      <w:r w:rsidRPr="002C4285">
        <w:rPr>
          <w:rFonts w:ascii="Times New Roman" w:eastAsia="Verdana" w:hAnsi="Times New Roman" w:cs="Times New Roman"/>
          <w:sz w:val="24"/>
          <w:szCs w:val="24"/>
        </w:rPr>
        <w:t>Gioia</w:t>
      </w:r>
      <w:proofErr w:type="spellEnd"/>
      <w:r w:rsidRPr="002C4285">
        <w:rPr>
          <w:rFonts w:ascii="Times New Roman" w:eastAsia="Verdana" w:hAnsi="Times New Roman" w:cs="Times New Roman"/>
          <w:sz w:val="24"/>
          <w:szCs w:val="24"/>
        </w:rPr>
        <w:t xml:space="preserve"> F., </w:t>
      </w:r>
      <w:proofErr w:type="spellStart"/>
      <w:r w:rsidRPr="002C4285">
        <w:rPr>
          <w:rFonts w:ascii="Times New Roman" w:eastAsia="Verdana" w:hAnsi="Times New Roman" w:cs="Times New Roman"/>
          <w:sz w:val="24"/>
          <w:szCs w:val="24"/>
        </w:rPr>
        <w:t>Monfardini</w:t>
      </w:r>
      <w:proofErr w:type="spellEnd"/>
      <w:r w:rsidRPr="002C4285">
        <w:rPr>
          <w:rFonts w:ascii="Times New Roman" w:eastAsia="Verdana" w:hAnsi="Times New Roman" w:cs="Times New Roman"/>
          <w:sz w:val="24"/>
          <w:szCs w:val="24"/>
        </w:rPr>
        <w:t xml:space="preserve"> S., </w:t>
      </w:r>
      <w:proofErr w:type="spellStart"/>
      <w:r w:rsidRPr="002C4285">
        <w:rPr>
          <w:rFonts w:ascii="Times New Roman" w:eastAsia="Verdana" w:hAnsi="Times New Roman" w:cs="Times New Roman"/>
          <w:sz w:val="24"/>
          <w:szCs w:val="24"/>
        </w:rPr>
        <w:t>Aapro</w:t>
      </w:r>
      <w:proofErr w:type="spellEnd"/>
      <w:r w:rsidRPr="002C4285">
        <w:rPr>
          <w:rFonts w:ascii="Times New Roman" w:eastAsia="Verdana" w:hAnsi="Times New Roman" w:cs="Times New Roman"/>
          <w:sz w:val="24"/>
          <w:szCs w:val="24"/>
        </w:rPr>
        <w:t xml:space="preserve"> M S., </w:t>
      </w:r>
      <w:proofErr w:type="spellStart"/>
      <w:r w:rsidRPr="002C4285">
        <w:rPr>
          <w:rFonts w:ascii="Times New Roman" w:eastAsia="Verdana" w:hAnsi="Times New Roman" w:cs="Times New Roman"/>
          <w:sz w:val="24"/>
          <w:szCs w:val="24"/>
        </w:rPr>
        <w:t>Serraino</w:t>
      </w:r>
      <w:proofErr w:type="spellEnd"/>
      <w:r w:rsidRPr="002C4285">
        <w:rPr>
          <w:rFonts w:ascii="Times New Roman" w:eastAsia="Verdana" w:hAnsi="Times New Roman" w:cs="Times New Roman"/>
          <w:sz w:val="24"/>
          <w:szCs w:val="24"/>
        </w:rPr>
        <w:t xml:space="preserve"> D., </w:t>
      </w:r>
      <w:proofErr w:type="spellStart"/>
      <w:r w:rsidRPr="002C4285">
        <w:rPr>
          <w:rFonts w:ascii="Times New Roman" w:eastAsia="Verdana" w:hAnsi="Times New Roman" w:cs="Times New Roman"/>
          <w:sz w:val="24"/>
          <w:szCs w:val="24"/>
        </w:rPr>
        <w:t>Zagonel</w:t>
      </w:r>
      <w:proofErr w:type="spellEnd"/>
      <w:r w:rsidRPr="002C4285">
        <w:rPr>
          <w:rFonts w:ascii="Times New Roman" w:eastAsia="Verdana" w:hAnsi="Times New Roman" w:cs="Times New Roman"/>
          <w:sz w:val="24"/>
          <w:szCs w:val="24"/>
        </w:rPr>
        <w:t xml:space="preserve"> V. Comprehensive Geriatric Assessment adds information to Eastern Cooperative Oncology Group Performance Status in elderly cancer patients: </w:t>
      </w:r>
      <w:proofErr w:type="gramStart"/>
      <w:r w:rsidRPr="002C4285">
        <w:rPr>
          <w:rFonts w:ascii="Times New Roman" w:eastAsia="Verdana" w:hAnsi="Times New Roman" w:cs="Times New Roman"/>
          <w:sz w:val="24"/>
          <w:szCs w:val="24"/>
        </w:rPr>
        <w:t>an</w:t>
      </w:r>
      <w:proofErr w:type="gramEnd"/>
      <w:r w:rsidRPr="002C4285">
        <w:rPr>
          <w:rFonts w:ascii="Times New Roman" w:eastAsia="Verdana" w:hAnsi="Times New Roman" w:cs="Times New Roman"/>
          <w:sz w:val="24"/>
          <w:szCs w:val="24"/>
        </w:rPr>
        <w:t xml:space="preserve"> Italian group for geriatric oncology. </w:t>
      </w:r>
      <w:r w:rsidRPr="002C4285">
        <w:rPr>
          <w:rFonts w:ascii="Times New Roman" w:eastAsia="Verdana" w:hAnsi="Times New Roman" w:cs="Times New Roman"/>
          <w:i/>
          <w:sz w:val="24"/>
          <w:szCs w:val="24"/>
        </w:rPr>
        <w:t xml:space="preserve">J </w:t>
      </w:r>
      <w:proofErr w:type="spellStart"/>
      <w:r w:rsidRPr="002C4285">
        <w:rPr>
          <w:rFonts w:ascii="Times New Roman" w:eastAsia="Verdana" w:hAnsi="Times New Roman" w:cs="Times New Roman"/>
          <w:i/>
          <w:sz w:val="24"/>
          <w:szCs w:val="24"/>
        </w:rPr>
        <w:t>Clin</w:t>
      </w:r>
      <w:proofErr w:type="spellEnd"/>
      <w:r w:rsidRPr="002C4285">
        <w:rPr>
          <w:rFonts w:ascii="Times New Roman" w:eastAsia="Verdana" w:hAnsi="Times New Roman" w:cs="Times New Roman"/>
          <w:i/>
          <w:sz w:val="24"/>
          <w:szCs w:val="24"/>
        </w:rPr>
        <w:t xml:space="preserve"> </w:t>
      </w:r>
      <w:proofErr w:type="spellStart"/>
      <w:r w:rsidRPr="002C4285">
        <w:rPr>
          <w:rFonts w:ascii="Times New Roman" w:eastAsia="Verdana" w:hAnsi="Times New Roman" w:cs="Times New Roman"/>
          <w:i/>
          <w:sz w:val="24"/>
          <w:szCs w:val="24"/>
        </w:rPr>
        <w:t>Oncol</w:t>
      </w:r>
      <w:proofErr w:type="spellEnd"/>
      <w:r w:rsidRPr="002C4285">
        <w:rPr>
          <w:rFonts w:ascii="Times New Roman" w:eastAsia="Verdana" w:hAnsi="Times New Roman" w:cs="Times New Roman"/>
          <w:sz w:val="24"/>
          <w:szCs w:val="24"/>
        </w:rPr>
        <w:t xml:space="preserve"> 2012; </w:t>
      </w:r>
      <w:r w:rsidRPr="002C4285">
        <w:rPr>
          <w:rFonts w:ascii="Times New Roman" w:eastAsia="Verdana" w:hAnsi="Times New Roman" w:cs="Times New Roman"/>
          <w:b/>
          <w:sz w:val="24"/>
          <w:szCs w:val="24"/>
        </w:rPr>
        <w:t>20</w:t>
      </w:r>
      <w:r w:rsidRPr="002C4285">
        <w:rPr>
          <w:rFonts w:ascii="Times New Roman" w:eastAsia="Verdana" w:hAnsi="Times New Roman" w:cs="Times New Roman"/>
          <w:sz w:val="24"/>
          <w:szCs w:val="24"/>
        </w:rPr>
        <w:t>: 494-502, doi:10.1200/JCO.2002.20.2.494</w:t>
      </w:r>
    </w:p>
    <w:p w14:paraId="44E11FA0" w14:textId="77777777" w:rsidR="00D061CF" w:rsidRPr="002C4285" w:rsidRDefault="00D061CF" w:rsidP="00D061CF">
      <w:pPr>
        <w:pStyle w:val="ListParagraph"/>
        <w:rPr>
          <w:rFonts w:ascii="Times New Roman" w:eastAsia="Verdana" w:hAnsi="Times New Roman" w:cs="Times New Roman"/>
          <w:sz w:val="24"/>
          <w:szCs w:val="24"/>
        </w:rPr>
      </w:pPr>
    </w:p>
    <w:p w14:paraId="0B870A3B" w14:textId="77777777" w:rsidR="00D061CF" w:rsidRPr="002C4285" w:rsidRDefault="00D061CF" w:rsidP="00D061CF">
      <w:pPr>
        <w:pStyle w:val="ListParagraph"/>
        <w:rPr>
          <w:rFonts w:ascii="Times New Roman" w:eastAsia="Verdana" w:hAnsi="Times New Roman" w:cs="Times New Roman"/>
          <w:sz w:val="24"/>
          <w:szCs w:val="24"/>
        </w:rPr>
      </w:pPr>
    </w:p>
    <w:p w14:paraId="56A02963" w14:textId="77777777" w:rsidR="00D061CF" w:rsidRPr="002C4285" w:rsidRDefault="00D061CF" w:rsidP="00D061CF">
      <w:pPr>
        <w:ind w:left="360"/>
        <w:rPr>
          <w:rFonts w:ascii="Times New Roman" w:eastAsia="Verdana" w:hAnsi="Times New Roman" w:cs="Times New Roman"/>
          <w:sz w:val="24"/>
          <w:szCs w:val="24"/>
        </w:rPr>
      </w:pPr>
    </w:p>
    <w:p w14:paraId="59609E65" w14:textId="77777777" w:rsidR="00D061CF" w:rsidRPr="002C4285" w:rsidRDefault="00D061CF" w:rsidP="00D061CF">
      <w:pPr>
        <w:pStyle w:val="ListParagraph"/>
        <w:rPr>
          <w:rFonts w:ascii="Times New Roman" w:hAnsi="Times New Roman" w:cs="Times New Roman"/>
          <w:sz w:val="24"/>
          <w:szCs w:val="24"/>
        </w:rPr>
      </w:pPr>
    </w:p>
    <w:p w14:paraId="6AA963F4" w14:textId="77777777" w:rsidR="00D061CF" w:rsidRPr="002C4285" w:rsidRDefault="00D061CF" w:rsidP="00D061CF">
      <w:pPr>
        <w:spacing w:line="240" w:lineRule="auto"/>
        <w:ind w:left="360"/>
        <w:rPr>
          <w:rFonts w:ascii="Times New Roman" w:hAnsi="Times New Roman" w:cs="Times New Roman"/>
          <w:sz w:val="24"/>
          <w:szCs w:val="24"/>
        </w:rPr>
      </w:pPr>
    </w:p>
    <w:p w14:paraId="7F6C6A9E" w14:textId="77777777" w:rsidR="00D061CF" w:rsidRPr="002C4285" w:rsidRDefault="00D061CF" w:rsidP="00D061CF">
      <w:pPr>
        <w:pStyle w:val="ListParagraph"/>
        <w:spacing w:line="480" w:lineRule="auto"/>
        <w:rPr>
          <w:rFonts w:ascii="Times New Roman" w:hAnsi="Times New Roman" w:cs="Times New Roman"/>
        </w:rPr>
      </w:pPr>
      <w:r w:rsidRPr="002C4285">
        <w:rPr>
          <w:rFonts w:ascii="Times New Roman" w:hAnsi="Times New Roman" w:cs="Times New Roman"/>
        </w:rPr>
        <w:t xml:space="preserve">      </w:t>
      </w:r>
    </w:p>
    <w:p w14:paraId="7D432D93" w14:textId="77777777" w:rsidR="00D061CF" w:rsidRPr="002C4285" w:rsidRDefault="00D061CF" w:rsidP="00D061CF">
      <w:pPr>
        <w:pStyle w:val="ListParagraph"/>
        <w:spacing w:line="480" w:lineRule="auto"/>
        <w:rPr>
          <w:rFonts w:ascii="Times New Roman" w:hAnsi="Times New Roman" w:cs="Times New Roman"/>
        </w:rPr>
      </w:pPr>
      <w:r w:rsidRPr="002C4285">
        <w:rPr>
          <w:rFonts w:ascii="Times New Roman" w:hAnsi="Times New Roman" w:cs="Times New Roman"/>
        </w:rPr>
        <w:t xml:space="preserve">      </w:t>
      </w:r>
    </w:p>
    <w:p w14:paraId="15385C1D" w14:textId="77777777" w:rsidR="00D061CF" w:rsidRPr="002C4285" w:rsidRDefault="00D061CF" w:rsidP="00D061CF">
      <w:pPr>
        <w:pStyle w:val="ListParagraph"/>
        <w:spacing w:line="480" w:lineRule="auto"/>
        <w:rPr>
          <w:rFonts w:ascii="Times New Roman" w:hAnsi="Times New Roman" w:cs="Times New Roman"/>
        </w:rPr>
      </w:pPr>
      <w:r w:rsidRPr="002C4285">
        <w:rPr>
          <w:rFonts w:ascii="Times New Roman" w:hAnsi="Times New Roman" w:cs="Times New Roman"/>
        </w:rPr>
        <w:t xml:space="preserve">   </w:t>
      </w:r>
    </w:p>
    <w:p w14:paraId="2E3273D1" w14:textId="77777777" w:rsidR="00D061CF" w:rsidRPr="002C4285" w:rsidRDefault="00D061CF" w:rsidP="00D061CF">
      <w:pPr>
        <w:spacing w:line="480" w:lineRule="auto"/>
        <w:rPr>
          <w:rFonts w:ascii="Times New Roman" w:hAnsi="Times New Roman" w:cs="Times New Roman"/>
        </w:rPr>
      </w:pPr>
      <w:r w:rsidRPr="002C4285">
        <w:rPr>
          <w:rFonts w:ascii="Times New Roman" w:hAnsi="Times New Roman" w:cs="Times New Roman"/>
        </w:rPr>
        <w:t xml:space="preserve"> </w:t>
      </w:r>
    </w:p>
    <w:p w14:paraId="6091E401" w14:textId="77777777" w:rsidR="00D061CF" w:rsidRPr="002C4285" w:rsidRDefault="00D061CF" w:rsidP="00D061CF">
      <w:pPr>
        <w:rPr>
          <w:rFonts w:ascii="Times New Roman" w:hAnsi="Times New Roman" w:cs="Times New Roman"/>
        </w:rPr>
      </w:pPr>
    </w:p>
    <w:p w14:paraId="57E4D45A" w14:textId="77777777" w:rsidR="006A5EB4" w:rsidRPr="002C4285" w:rsidRDefault="006A5EB4">
      <w:pPr>
        <w:rPr>
          <w:rFonts w:ascii="Times New Roman" w:hAnsi="Times New Roman" w:cs="Times New Roman"/>
        </w:rPr>
      </w:pPr>
    </w:p>
    <w:sectPr w:rsidR="006A5EB4" w:rsidRPr="002C4285" w:rsidSect="00122F6F">
      <w:headerReference w:type="even" r:id="rId8"/>
      <w:headerReference w:type="default" r:id="rId9"/>
      <w:footerReference w:type="even" r:id="rId10"/>
      <w:footerReference w:type="default" r:id="rId11"/>
      <w:headerReference w:type="first" r:id="rId12"/>
      <w:footerReference w:type="first" r:id="rId13"/>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33BB" w14:textId="77777777" w:rsidR="00F946C9" w:rsidRDefault="00F946C9" w:rsidP="00D061CF">
      <w:pPr>
        <w:spacing w:after="0" w:line="240" w:lineRule="auto"/>
      </w:pPr>
      <w:r>
        <w:separator/>
      </w:r>
    </w:p>
  </w:endnote>
  <w:endnote w:type="continuationSeparator" w:id="0">
    <w:p w14:paraId="414CA288" w14:textId="77777777" w:rsidR="00F946C9" w:rsidRDefault="00F946C9" w:rsidP="00D0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E10F" w14:textId="77777777" w:rsidR="00D061CF" w:rsidRDefault="00D06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0D18" w14:textId="77777777" w:rsidR="00D061CF" w:rsidRDefault="00D06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CD65" w14:textId="77777777" w:rsidR="00D061CF" w:rsidRDefault="00D0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3A76" w14:textId="77777777" w:rsidR="00F946C9" w:rsidRDefault="00F946C9" w:rsidP="00D061CF">
      <w:pPr>
        <w:spacing w:after="0" w:line="240" w:lineRule="auto"/>
      </w:pPr>
      <w:r>
        <w:separator/>
      </w:r>
    </w:p>
  </w:footnote>
  <w:footnote w:type="continuationSeparator" w:id="0">
    <w:p w14:paraId="1B379E0E" w14:textId="77777777" w:rsidR="00F946C9" w:rsidRDefault="00F946C9" w:rsidP="00D0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6289" w14:textId="77777777" w:rsidR="00D061CF" w:rsidRDefault="00D06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8BB6" w14:textId="77777777" w:rsidR="00D061CF" w:rsidRDefault="00D06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DEA0" w14:textId="77777777" w:rsidR="00D061CF" w:rsidRDefault="00D0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E2AE1"/>
    <w:multiLevelType w:val="hybridMultilevel"/>
    <w:tmpl w:val="CB481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4A3A34"/>
    <w:multiLevelType w:val="hybridMultilevel"/>
    <w:tmpl w:val="8AE26140"/>
    <w:lvl w:ilvl="0" w:tplc="18A49F5E">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1NDM1NTM1NjA2MjJV0lEKTi0uzszPAykwqQUAu/jFACwAAAA="/>
  </w:docVars>
  <w:rsids>
    <w:rsidRoot w:val="00D061CF"/>
    <w:rsid w:val="000020A1"/>
    <w:rsid w:val="002C4285"/>
    <w:rsid w:val="002C7C66"/>
    <w:rsid w:val="00386364"/>
    <w:rsid w:val="00484198"/>
    <w:rsid w:val="005268C7"/>
    <w:rsid w:val="00586A2C"/>
    <w:rsid w:val="00696462"/>
    <w:rsid w:val="006A5EB4"/>
    <w:rsid w:val="006E232A"/>
    <w:rsid w:val="00995CFD"/>
    <w:rsid w:val="00CF4DB5"/>
    <w:rsid w:val="00D061CF"/>
    <w:rsid w:val="00D2684F"/>
    <w:rsid w:val="00F946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AE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CF"/>
  </w:style>
  <w:style w:type="paragraph" w:styleId="Heading1">
    <w:name w:val="heading 1"/>
    <w:basedOn w:val="Normal"/>
    <w:next w:val="Normal"/>
    <w:link w:val="Heading1Char"/>
    <w:uiPriority w:val="9"/>
    <w:qFormat/>
    <w:rsid w:val="00D061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61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61C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06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1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61CF"/>
    <w:pPr>
      <w:ind w:left="720"/>
      <w:contextualSpacing/>
    </w:pPr>
  </w:style>
  <w:style w:type="character" w:styleId="CommentReference">
    <w:name w:val="annotation reference"/>
    <w:basedOn w:val="DefaultParagraphFont"/>
    <w:uiPriority w:val="99"/>
    <w:semiHidden/>
    <w:unhideWhenUsed/>
    <w:rsid w:val="00D061CF"/>
    <w:rPr>
      <w:sz w:val="16"/>
      <w:szCs w:val="16"/>
    </w:rPr>
  </w:style>
  <w:style w:type="paragraph" w:styleId="CommentText">
    <w:name w:val="annotation text"/>
    <w:basedOn w:val="Normal"/>
    <w:link w:val="CommentTextChar"/>
    <w:uiPriority w:val="99"/>
    <w:semiHidden/>
    <w:unhideWhenUsed/>
    <w:rsid w:val="00D061CF"/>
    <w:pPr>
      <w:spacing w:line="240" w:lineRule="auto"/>
    </w:pPr>
    <w:rPr>
      <w:sz w:val="20"/>
      <w:szCs w:val="20"/>
    </w:rPr>
  </w:style>
  <w:style w:type="character" w:customStyle="1" w:styleId="CommentTextChar">
    <w:name w:val="Comment Text Char"/>
    <w:basedOn w:val="DefaultParagraphFont"/>
    <w:link w:val="CommentText"/>
    <w:uiPriority w:val="99"/>
    <w:semiHidden/>
    <w:rsid w:val="00D061CF"/>
    <w:rPr>
      <w:sz w:val="20"/>
      <w:szCs w:val="20"/>
    </w:rPr>
  </w:style>
  <w:style w:type="paragraph" w:styleId="BalloonText">
    <w:name w:val="Balloon Text"/>
    <w:basedOn w:val="Normal"/>
    <w:link w:val="BalloonTextChar"/>
    <w:uiPriority w:val="99"/>
    <w:semiHidden/>
    <w:unhideWhenUsed/>
    <w:rsid w:val="00D06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CF"/>
    <w:rPr>
      <w:rFonts w:ascii="Segoe UI" w:hAnsi="Segoe UI" w:cs="Segoe UI"/>
      <w:sz w:val="18"/>
      <w:szCs w:val="18"/>
    </w:rPr>
  </w:style>
  <w:style w:type="paragraph" w:styleId="Header">
    <w:name w:val="header"/>
    <w:basedOn w:val="Normal"/>
    <w:link w:val="HeaderChar"/>
    <w:uiPriority w:val="99"/>
    <w:unhideWhenUsed/>
    <w:rsid w:val="00D06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1CF"/>
  </w:style>
  <w:style w:type="paragraph" w:styleId="Footer">
    <w:name w:val="footer"/>
    <w:basedOn w:val="Normal"/>
    <w:link w:val="FooterChar"/>
    <w:uiPriority w:val="99"/>
    <w:unhideWhenUsed/>
    <w:rsid w:val="00D06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1CF"/>
  </w:style>
  <w:style w:type="paragraph" w:styleId="CommentSubject">
    <w:name w:val="annotation subject"/>
    <w:basedOn w:val="CommentText"/>
    <w:next w:val="CommentText"/>
    <w:link w:val="CommentSubjectChar"/>
    <w:uiPriority w:val="99"/>
    <w:semiHidden/>
    <w:unhideWhenUsed/>
    <w:rsid w:val="002C7C66"/>
    <w:rPr>
      <w:b/>
      <w:bCs/>
    </w:rPr>
  </w:style>
  <w:style w:type="character" w:customStyle="1" w:styleId="CommentSubjectChar">
    <w:name w:val="Comment Subject Char"/>
    <w:basedOn w:val="CommentTextChar"/>
    <w:link w:val="CommentSubject"/>
    <w:uiPriority w:val="99"/>
    <w:semiHidden/>
    <w:rsid w:val="002C7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05803A7-18AD-455F-AFD3-BD6AD861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2051</Words>
  <Characters>11693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2018-07-19T13:09:00Z</dcterms:created>
  <dcterms:modified xsi:type="dcterms:W3CDTF">2018-07-19T13:09:00Z</dcterms:modified>
</cp:coreProperties>
</file>